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color w:val="000000"/>
          <w:sz w:val="36"/>
          <w:szCs w:val="36"/>
        </w:rPr>
      </w:pPr>
      <w:bookmarkStart w:colFirst="0" w:colLast="0" w:name="_heading=h.3o7alnk" w:id="0"/>
      <w:bookmarkEnd w:id="0"/>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1985"/>
        </w:tabs>
        <w:spacing w:after="120" w:before="120" w:lineRule="auto"/>
        <w:ind w:left="-142" w:hanging="720"/>
        <w:jc w:val="left"/>
        <w:rPr>
          <w:rFonts w:ascii="Arial" w:cs="Arial" w:eastAsia="Arial" w:hAnsi="Arial"/>
          <w:color w:val="000000"/>
          <w:sz w:val="36"/>
          <w:szCs w:val="36"/>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1985"/>
        </w:tabs>
        <w:spacing w:after="120" w:before="120" w:lineRule="auto"/>
        <w:ind w:left="-142"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definitions shall apply:</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Rule="auto"/>
        <w:ind w:left="360" w:hanging="1004"/>
        <w:jc w:val="left"/>
        <w:rPr>
          <w:rFonts w:ascii="Arial" w:cs="Arial" w:eastAsia="Arial" w:hAnsi="Arial"/>
          <w:color w:val="000000"/>
          <w:sz w:val="24"/>
          <w:szCs w:val="24"/>
        </w:rPr>
      </w:pPr>
      <w:r w:rsidDel="00000000" w:rsidR="00000000" w:rsidRPr="00000000">
        <w:rPr>
          <w:rtl w:val="0"/>
        </w:rPr>
      </w:r>
    </w:p>
    <w:tbl>
      <w:tblPr>
        <w:tblStyle w:val="Table1"/>
        <w:tblW w:w="8655.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10"/>
        <w:gridCol w:w="5745"/>
        <w:tblGridChange w:id="0">
          <w:tblGrid>
            <w:gridCol w:w="2910"/>
            <w:gridCol w:w="5745"/>
          </w:tblGrid>
        </w:tblGridChange>
      </w:tblGrid>
      <w:tr>
        <w:trPr>
          <w:cantSplit w:val="0"/>
          <w:trHeight w:val="17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“Applicable Financial Indicators”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ind w:right="-22"/>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means the financial indicators from Paragraph </w:t>
            </w:r>
            <w:r w:rsidDel="00000000" w:rsidR="00000000" w:rsidRPr="00000000">
              <w:rPr>
                <w:rFonts w:ascii="Arial" w:cs="Arial" w:eastAsia="Arial" w:hAnsi="Arial"/>
                <w:smallCaps w:val="1"/>
                <w:color w:val="000000"/>
                <w:sz w:val="24"/>
                <w:szCs w:val="24"/>
                <w:rtl w:val="0"/>
              </w:rPr>
              <w:t xml:space="preserve">5.1 </w:t>
            </w:r>
            <w:r w:rsidDel="00000000" w:rsidR="00000000" w:rsidRPr="00000000">
              <w:rPr>
                <w:rFonts w:ascii="Arial" w:cs="Arial" w:eastAsia="Arial" w:hAnsi="Arial"/>
                <w:color w:val="000000"/>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board of directors;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written confirmation from the Board in accordance with Paragraph 8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“Bronze Contract”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categorised as a Bronze contract using the Cabinet Office Contract Tiering Tool;</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Markets and Suppliers Team”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color w:val="000000"/>
                <w:sz w:val="24"/>
                <w:szCs w:val="24"/>
                <w:rtl w:val="0"/>
              </w:rPr>
              <w:t xml:space="preserve"> to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w:t>
            </w:r>
            <w:r w:rsidDel="00000000" w:rsidR="00000000" w:rsidRPr="00000000">
              <w:rPr>
                <w:rFonts w:ascii="Arial" w:cs="Arial" w:eastAsia="Arial" w:hAnsi="Arial"/>
                <w:color w:val="000000"/>
                <w:sz w:val="24"/>
                <w:szCs w:val="24"/>
                <w:highlight w:val="yellow"/>
                <w:rtl w:val="0"/>
              </w:rPr>
              <w:t xml:space="preserve">[Supplier, Key Sub-contractors, [the Guarantor] and the [Monitored Suppliers]];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events listed in Paragraph 3.1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Remediation Plan”</w:t>
            </w:r>
          </w:p>
          <w:p w:rsidR="00000000" w:rsidDel="00000000" w:rsidP="00000000" w:rsidRDefault="00000000" w:rsidRPr="00000000" w14:paraId="00000019">
            <w:pPr>
              <w:tabs>
                <w:tab w:val="left" w:pos="1908"/>
              </w:tabs>
              <w:rPr>
                <w:rFonts w:ascii="Arial" w:cs="Arial" w:eastAsia="Arial" w:hAnsi="Arial"/>
                <w:sz w:val="24"/>
                <w:szCs w:val="24"/>
              </w:rPr>
            </w:pPr>
            <w:r w:rsidDel="00000000" w:rsidR="00000000" w:rsidRPr="00000000">
              <w:rPr>
                <w:rFonts w:ascii="Arial" w:cs="Arial" w:eastAsia="Arial" w:hAnsi="Arial"/>
                <w:sz w:val="24"/>
                <w:szCs w:val="24"/>
                <w:rtl w:val="0"/>
              </w:rPr>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 Schedule and in respect of each Monitored Supplier, means those Applicable Financial</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Indicators;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entities specified at paragraph 5.2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suppliers to government listed at </w:t>
            </w:r>
            <w:hyperlink r:id="rId7">
              <w:r w:rsidDel="00000000" w:rsidR="00000000" w:rsidRPr="00000000">
                <w:rPr>
                  <w:rFonts w:ascii="Arial" w:cs="Arial" w:eastAsia="Arial" w:hAnsi="Arial"/>
                  <w:color w:val="000000"/>
                  <w:sz w:val="24"/>
                  <w:szCs w:val="24"/>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tabs>
          <w:tab w:val="left" w:pos="142"/>
        </w:tabs>
        <w:spacing w:before="120" w:lineRule="auto"/>
        <w:ind w:left="360" w:firstLine="0"/>
        <w:jc w:val="left"/>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26">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Warranties and duty to notify</w:t>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3.1(a),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 or</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report submitted by the Supplier pursuant to paragraph 2.3(b) shall:</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6">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Distress events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shall be Financial Distress Events:</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bookmarkStart w:colFirst="0" w:colLast="0" w:name="_heading=h.1ksv4uv" w:id="1"/>
      <w:bookmarkEnd w:id="1"/>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3E">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F">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an FDE Group entity of any financial indebtedness;</w:t>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b w:val="1"/>
          <w:color w:val="00000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5">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Consequences</w:t>
      </w:r>
      <w:r w:rsidDel="00000000" w:rsidR="00000000" w:rsidRPr="00000000">
        <w:rPr>
          <w:rFonts w:ascii="Arial Bold" w:cs="Arial Bold" w:eastAsia="Arial Bold" w:hAnsi="Arial Bold"/>
          <w:color w:val="000000"/>
          <w:sz w:val="24"/>
          <w:szCs w:val="24"/>
          <w:rtl w:val="0"/>
        </w:rPr>
        <w:t xml:space="preserve"> of Financial Distress Events</w:t>
      </w:r>
      <w:r w:rsidDel="00000000" w:rsidR="00000000" w:rsidRPr="00000000">
        <w:rPr>
          <w:rtl w:val="0"/>
        </w:rPr>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3.1(e), the Relevant Authority shall not exercise any of its rights or remedies under Paragraph 4.3 without first giving the Supplier 10 Working Days to:</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p>
    <w:p w:rsidR="00000000" w:rsidDel="00000000" w:rsidP="00000000" w:rsidRDefault="00000000" w:rsidRPr="00000000" w14:paraId="0000004B">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4.3(a) that the Financial Distress Event could impact on the continued performance and delivery of the Deliverables in accordance with the Contract:</w:t>
      </w:r>
    </w:p>
    <w:p w:rsidR="00000000" w:rsidDel="00000000" w:rsidP="00000000" w:rsidRDefault="00000000" w:rsidRPr="00000000" w14:paraId="0000004D">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E">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 regular basis (which shall not be less than fortnightly):</w:t>
      </w:r>
    </w:p>
    <w:p w:rsidR="00000000" w:rsidDel="00000000" w:rsidP="00000000" w:rsidRDefault="00000000" w:rsidRPr="00000000" w14:paraId="00000053">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4">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4.6.1(a),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4.3(b)(ii) is available when required and on request from the Relevant Authority and within reasonable timescales. Such measures may include:</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 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C">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Indicator</w:t>
      </w:r>
      <w:r w:rsidDel="00000000" w:rsidR="00000000" w:rsidRPr="00000000">
        <w:rPr>
          <w:rFonts w:ascii="Arial Bold" w:cs="Arial Bold" w:eastAsia="Arial Bold" w:hAnsi="Arial Bold"/>
          <w:b w:val="1"/>
          <w:sz w:val="24"/>
          <w:szCs w:val="24"/>
          <w:rtl w:val="0"/>
        </w:rPr>
        <w:t xml:space="preserve">s</w:t>
      </w:r>
      <w:r w:rsidDel="00000000" w:rsidR="00000000" w:rsidRPr="00000000">
        <w:rPr>
          <w:rtl w:val="0"/>
        </w:rPr>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Calculation</w:t>
            </w:r>
            <w:r w:rsidDel="00000000" w:rsidR="00000000" w:rsidRPr="00000000">
              <w:rPr>
                <w:rFonts w:ascii="Arial" w:cs="Arial" w:eastAsia="Arial" w:hAnsi="Arial"/>
                <w:b w:val="1"/>
                <w:color w:val="000000"/>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w:t>
            </w:r>
          </w:p>
        </w:tc>
        <w:tc>
          <w:tcPr>
            <w:shd w:fill="d9d9d9" w:val="cle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bookmarkStart w:colFirst="0" w:colLast="0" w:name="_heading=h.gjdgxs" w:id="2"/>
            <w:bookmarkEnd w:id="2"/>
            <w:r w:rsidDel="00000000" w:rsidR="00000000" w:rsidRPr="00000000">
              <w:rPr>
                <w:rFonts w:ascii="Arial" w:cs="Arial" w:eastAsia="Arial" w:hAnsi="Arial"/>
                <w:b w:val="1"/>
                <w:color w:val="000000"/>
                <w:sz w:val="24"/>
                <w:szCs w:val="24"/>
                <w:rtl w:val="0"/>
              </w:rPr>
              <w:t xml:space="preserve">Monitoring and Reporting Frequency </w:t>
            </w:r>
            <w:r w:rsidDel="00000000" w:rsidR="00000000" w:rsidRPr="00000000">
              <w:rPr>
                <w:rFonts w:ascii="Arial" w:cs="Arial" w:eastAsia="Arial" w:hAnsi="Arial"/>
                <w:b w:val="1"/>
                <w:color w:val="000000"/>
                <w:sz w:val="24"/>
                <w:szCs w:val="24"/>
                <w:highlight w:val="yellow"/>
                <w:rtl w:val="0"/>
              </w:rPr>
              <w:t xml:space="preserve">[if different from the default position set out in Paragraph 2.3(b)]</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[Operating Margin]</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[&gt; [X%]]</w:t>
            </w:r>
          </w:p>
        </w:tc>
        <w:tc>
          <w:tcP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 half yearly]</w:t>
            </w:r>
            <w:r w:rsidDel="00000000" w:rsidR="00000000" w:rsidRPr="00000000">
              <w:rPr>
                <w:rFonts w:ascii="Arial" w:cs="Arial" w:eastAsia="Arial" w:hAnsi="Arial"/>
                <w:i w:val="1"/>
                <w:color w:val="000000"/>
                <w:sz w:val="24"/>
                <w:szCs w:val="24"/>
                <w:rtl w:val="0"/>
              </w:rPr>
              <w:t xml:space="preserve"> in arrears within </w:t>
            </w:r>
            <w:r w:rsidDel="00000000" w:rsidR="00000000" w:rsidRPr="00000000">
              <w:rPr>
                <w:rFonts w:ascii="Arial" w:cs="Arial" w:eastAsia="Arial" w:hAnsi="Arial"/>
                <w:i w:val="1"/>
                <w:color w:val="000000"/>
                <w:sz w:val="24"/>
                <w:szCs w:val="24"/>
                <w:highlight w:val="yellow"/>
                <w:rtl w:val="0"/>
              </w:rPr>
              <w:t xml:space="preserve">[120 / 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highlight w:val="yellow"/>
                <w:rtl w:val="0"/>
              </w:rPr>
              <w:t xml:space="preserve">[accounting reference date / half year end]</w:t>
            </w:r>
            <w:r w:rsidDel="00000000" w:rsidR="00000000" w:rsidRPr="00000000">
              <w:rPr>
                <w:rFonts w:ascii="Arial" w:cs="Arial" w:eastAsia="Arial" w:hAnsi="Arial"/>
                <w:i w:val="1"/>
                <w:color w:val="000000"/>
                <w:sz w:val="24"/>
                <w:szCs w:val="24"/>
                <w:rtl w:val="0"/>
              </w:rPr>
              <w:t xml:space="preserve"> based upon figures for the 12 months ending on the relevant </w:t>
            </w:r>
            <w:r w:rsidDel="00000000" w:rsidR="00000000" w:rsidRPr="00000000">
              <w:rPr>
                <w:rFonts w:ascii="Arial" w:cs="Arial" w:eastAsia="Arial" w:hAnsi="Arial"/>
                <w:i w:val="1"/>
                <w:color w:val="000000"/>
                <w:sz w:val="24"/>
                <w:szCs w:val="24"/>
                <w:highlight w:val="yellow"/>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7030a0"/>
                <w:sz w:val="24"/>
                <w:szCs w:val="24"/>
                <w:highlight w:val="yellow"/>
              </w:rPr>
            </w:pPr>
            <w:r w:rsidDel="00000000" w:rsidR="00000000" w:rsidRPr="00000000">
              <w:rPr>
                <w:rFonts w:ascii="Arial" w:cs="Arial" w:eastAsia="Arial" w:hAnsi="Arial"/>
                <w:b w:val="1"/>
                <w:color w:val="7030a0"/>
                <w:sz w:val="24"/>
                <w:szCs w:val="24"/>
                <w:highlight w:val="yellow"/>
                <w:rtl w:val="0"/>
              </w:rPr>
              <w:t xml:space="preserve">[Free Cash Flow to Net Debt Ratio]</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7030a0"/>
                <w:sz w:val="24"/>
                <w:szCs w:val="24"/>
              </w:rPr>
            </w:pPr>
            <w:r w:rsidDel="00000000" w:rsidR="00000000" w:rsidRPr="00000000">
              <w:rPr>
                <w:rFonts w:ascii="Arial" w:cs="Arial" w:eastAsia="Arial" w:hAnsi="Arial"/>
                <w:b w:val="1"/>
                <w:color w:val="7030a0"/>
                <w:sz w:val="24"/>
                <w:szCs w:val="24"/>
                <w:rtl w:val="0"/>
              </w:rPr>
              <w:t xml:space="preserve">OR</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4"/>
                <w:szCs w:val="24"/>
                <w:highlight w:val="yellow"/>
              </w:rPr>
            </w:pPr>
            <w:r w:rsidDel="00000000" w:rsidR="00000000" w:rsidRPr="00000000">
              <w:rPr>
                <w:rFonts w:ascii="Arial" w:cs="Arial" w:eastAsia="Arial" w:hAnsi="Arial"/>
                <w:i w:val="1"/>
                <w:color w:val="7030a0"/>
                <w:sz w:val="24"/>
                <w:szCs w:val="24"/>
                <w:highlight w:val="yellow"/>
                <w:rtl w:val="0"/>
              </w:rPr>
              <w:t xml:space="preserve">[Free Cash Flow to Net Debt Ratio = Free Cash Flow / Net Debt]</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4"/>
                <w:szCs w:val="24"/>
              </w:rPr>
            </w:pPr>
            <w:r w:rsidDel="00000000" w:rsidR="00000000" w:rsidRPr="00000000">
              <w:rPr>
                <w:rFonts w:ascii="Arial" w:cs="Arial" w:eastAsia="Arial" w:hAnsi="Arial"/>
                <w:i w:val="1"/>
                <w:color w:val="7030a0"/>
                <w:sz w:val="24"/>
                <w:szCs w:val="24"/>
                <w:rtl w:val="0"/>
              </w:rPr>
              <w:t xml:space="preserve">OR</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4"/>
                <w:szCs w:val="24"/>
                <w:highlight w:val="yellow"/>
              </w:rPr>
            </w:pPr>
            <w:r w:rsidDel="00000000" w:rsidR="00000000" w:rsidRPr="00000000">
              <w:rPr>
                <w:rFonts w:ascii="Arial" w:cs="Arial" w:eastAsia="Arial" w:hAnsi="Arial"/>
                <w:i w:val="1"/>
                <w:color w:val="7030a0"/>
                <w:sz w:val="24"/>
                <w:szCs w:val="24"/>
                <w:highlight w:val="yellow"/>
                <w:rtl w:val="0"/>
              </w:rPr>
              <w:t xml:space="preserve">[&gt; [X%]]</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OR</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[&lt; [X]]</w:t>
            </w:r>
            <w:r w:rsidDel="00000000" w:rsidR="00000000" w:rsidRPr="00000000">
              <w:rPr>
                <w:rFonts w:ascii="Arial" w:cs="Arial" w:eastAsia="Arial" w:hAnsi="Arial"/>
                <w:i w:val="1"/>
                <w:color w:val="000000"/>
                <w:sz w:val="24"/>
                <w:szCs w:val="24"/>
                <w:rtl w:val="0"/>
              </w:rPr>
              <w:t xml:space="preserve"> times</w:t>
            </w:r>
          </w:p>
        </w:tc>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7030a0"/>
                <w:sz w:val="24"/>
                <w:szCs w:val="24"/>
                <w:highlight w:val="yellow"/>
                <w:rtl w:val="0"/>
              </w:rPr>
              <w:t xml:space="preserve">/ half yearly]</w:t>
            </w: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7030a0"/>
                <w:sz w:val="24"/>
                <w:szCs w:val="24"/>
                <w:highlight w:val="yellow"/>
                <w:rtl w:val="0"/>
              </w:rPr>
              <w:t xml:space="preserve">[120 </w:t>
            </w:r>
            <w:r w:rsidDel="00000000" w:rsidR="00000000" w:rsidRPr="00000000">
              <w:rPr>
                <w:rFonts w:ascii="Arial" w:cs="Arial" w:eastAsia="Arial" w:hAnsi="Arial"/>
                <w:i w:val="1"/>
                <w:color w:val="000000"/>
                <w:sz w:val="24"/>
                <w:szCs w:val="24"/>
                <w:highlight w:val="yellow"/>
                <w:rtl w:val="0"/>
              </w:rPr>
              <w:t xml:space="preserve">/ 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7030a0"/>
                <w:sz w:val="24"/>
                <w:szCs w:val="24"/>
                <w:highlight w:val="yellow"/>
                <w:rtl w:val="0"/>
              </w:rPr>
              <w:t xml:space="preserve">/ half year end]</w:t>
            </w:r>
            <w:r w:rsidDel="00000000" w:rsidR="00000000" w:rsidRPr="00000000">
              <w:rPr>
                <w:rFonts w:ascii="Arial" w:cs="Arial" w:eastAsia="Arial" w:hAnsi="Arial"/>
                <w:i w:val="1"/>
                <w:color w:val="000000"/>
                <w:sz w:val="24"/>
                <w:szCs w:val="24"/>
                <w:rtl w:val="0"/>
              </w:rPr>
              <w:t xml:space="preserve"> based upon </w:t>
            </w:r>
            <w:r w:rsidDel="00000000" w:rsidR="00000000" w:rsidRPr="00000000">
              <w:rPr>
                <w:rFonts w:ascii="Arial" w:cs="Arial" w:eastAsia="Arial" w:hAnsi="Arial"/>
                <w:i w:val="1"/>
                <w:color w:val="7030a0"/>
                <w:sz w:val="24"/>
                <w:szCs w:val="24"/>
                <w:highlight w:val="yellow"/>
                <w:rtl w:val="0"/>
              </w:rPr>
              <w:t xml:space="preserve">[Free Cash Flow /</w:t>
            </w:r>
            <w:r w:rsidDel="00000000" w:rsidR="00000000" w:rsidRPr="00000000">
              <w:rPr>
                <w:rFonts w:ascii="Arial" w:cs="Arial" w:eastAsia="Arial" w:hAnsi="Arial"/>
                <w:i w:val="1"/>
                <w:color w:val="000000"/>
                <w:sz w:val="24"/>
                <w:szCs w:val="24"/>
                <w:highlight w:val="yellow"/>
                <w:rtl w:val="0"/>
              </w:rPr>
              <w:t xml:space="preserve"> EBITDA]</w:t>
            </w:r>
            <w:r w:rsidDel="00000000" w:rsidR="00000000" w:rsidRPr="00000000">
              <w:rPr>
                <w:rFonts w:ascii="Arial" w:cs="Arial" w:eastAsia="Arial" w:hAnsi="Arial"/>
                <w:i w:val="1"/>
                <w:color w:val="000000"/>
                <w:sz w:val="24"/>
                <w:szCs w:val="24"/>
                <w:rtl w:val="0"/>
              </w:rPr>
              <w:t xml:space="preserve"> for the 12 months ending on, and Net Debt at, the relevant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7030a0"/>
                <w:sz w:val="24"/>
                <w:szCs w:val="24"/>
                <w:highlight w:val="yellow"/>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[&lt; [X]]</w:t>
            </w:r>
            <w:r w:rsidDel="00000000" w:rsidR="00000000" w:rsidRPr="00000000">
              <w:rPr>
                <w:rFonts w:ascii="Arial" w:cs="Arial" w:eastAsia="Arial" w:hAnsi="Arial"/>
                <w:i w:val="1"/>
                <w:color w:val="000000"/>
                <w:sz w:val="24"/>
                <w:szCs w:val="24"/>
                <w:rtl w:val="0"/>
              </w:rPr>
              <w:t xml:space="preserve"> times</w:t>
            </w:r>
          </w:p>
        </w:tc>
        <w:tc>
          <w:tcP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w:t>
            </w:r>
            <w:r w:rsidDel="00000000" w:rsidR="00000000" w:rsidRPr="00000000">
              <w:rPr>
                <w:rFonts w:ascii="Arial" w:cs="Arial" w:eastAsia="Arial" w:hAnsi="Arial"/>
                <w:i w:val="1"/>
                <w:color w:val="f79646"/>
                <w:sz w:val="24"/>
                <w:szCs w:val="24"/>
                <w:rtl w:val="0"/>
              </w:rPr>
              <w:t xml:space="preserve">90 </w:t>
            </w:r>
            <w:r w:rsidDel="00000000" w:rsidR="00000000" w:rsidRPr="00000000">
              <w:rPr>
                <w:rFonts w:ascii="Arial" w:cs="Arial" w:eastAsia="Arial" w:hAnsi="Arial"/>
                <w:i w:val="1"/>
                <w:color w:val="000000"/>
                <w:sz w:val="24"/>
                <w:szCs w:val="24"/>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Interest Paid Cover = Earnings Before Interest and Tax / Net Interest Paid]</w:t>
            </w:r>
          </w:p>
        </w:tc>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[&gt; [X]]</w:t>
            </w:r>
            <w:r w:rsidDel="00000000" w:rsidR="00000000" w:rsidRPr="00000000">
              <w:rPr>
                <w:rFonts w:ascii="Arial" w:cs="Arial" w:eastAsia="Arial" w:hAnsi="Arial"/>
                <w:i w:val="1"/>
                <w:color w:val="000000"/>
                <w:sz w:val="24"/>
                <w:szCs w:val="24"/>
                <w:rtl w:val="0"/>
              </w:rPr>
              <w:t xml:space="preserve"> times</w:t>
            </w:r>
          </w:p>
        </w:tc>
        <w:tc>
          <w:tcP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color w:val="8064a2"/>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 </w:t>
            </w:r>
            <w:r w:rsidDel="00000000" w:rsidR="00000000" w:rsidRPr="00000000">
              <w:rPr>
                <w:rFonts w:ascii="Arial" w:cs="Arial" w:eastAsia="Arial" w:hAnsi="Arial"/>
                <w:i w:val="1"/>
                <w:color w:val="000000"/>
                <w:sz w:val="24"/>
                <w:szCs w:val="24"/>
                <w:highlight w:val="yellow"/>
                <w:rtl w:val="0"/>
              </w:rPr>
              <w:t xml:space="preserve">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000000"/>
                <w:sz w:val="24"/>
                <w:szCs w:val="24"/>
                <w:rtl w:val="0"/>
              </w:rPr>
              <w:t xml:space="preserve"> based upon figures for the 12 months ending on the relevant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[Acid Ratio]</w:t>
            </w:r>
            <w:r w:rsidDel="00000000" w:rsidR="00000000" w:rsidRPr="00000000">
              <w:rPr>
                <w:rtl w:val="0"/>
              </w:rPr>
            </w:r>
          </w:p>
        </w:tc>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[&gt; [X]] </w:t>
            </w:r>
            <w:r w:rsidDel="00000000" w:rsidR="00000000" w:rsidRPr="00000000">
              <w:rPr>
                <w:rFonts w:ascii="Arial" w:cs="Arial" w:eastAsia="Arial" w:hAnsi="Arial"/>
                <w:i w:val="1"/>
                <w:color w:val="000000"/>
                <w:sz w:val="24"/>
                <w:szCs w:val="24"/>
                <w:rtl w:val="0"/>
              </w:rPr>
              <w:t xml:space="preserve">times</w:t>
            </w:r>
          </w:p>
        </w:tc>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w:t>
            </w:r>
            <w:r w:rsidDel="00000000" w:rsidR="00000000" w:rsidRPr="00000000">
              <w:rPr>
                <w:rFonts w:ascii="Arial" w:cs="Arial" w:eastAsia="Arial" w:hAnsi="Arial"/>
                <w:i w:val="1"/>
                <w:color w:val="000000"/>
                <w:sz w:val="24"/>
                <w:szCs w:val="24"/>
                <w:highlight w:val="yellow"/>
                <w:rtl w:val="0"/>
              </w:rPr>
              <w:t xml:space="preserve">90] </w:t>
            </w:r>
            <w:r w:rsidDel="00000000" w:rsidR="00000000" w:rsidRPr="00000000">
              <w:rPr>
                <w:rFonts w:ascii="Arial" w:cs="Arial" w:eastAsia="Arial" w:hAnsi="Arial"/>
                <w:i w:val="1"/>
                <w:color w:val="000000"/>
                <w:sz w:val="24"/>
                <w:szCs w:val="24"/>
                <w:rtl w:val="0"/>
              </w:rPr>
              <w:t xml:space="preserve">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based upon figures at the relevant </w:t>
            </w:r>
            <w:r w:rsidDel="00000000" w:rsidR="00000000" w:rsidRPr="00000000">
              <w:rPr>
                <w:rFonts w:ascii="Arial" w:cs="Arial" w:eastAsia="Arial" w:hAnsi="Arial"/>
                <w:i w:val="1"/>
                <w:color w:val="000000"/>
                <w:sz w:val="24"/>
                <w:szCs w:val="24"/>
                <w:highlight w:val="yellow"/>
                <w:rtl w:val="0"/>
              </w:rPr>
              <w:t xml:space="preserve">[accounting reference date</w:t>
            </w:r>
            <w:r w:rsidDel="00000000" w:rsidR="00000000" w:rsidRPr="00000000">
              <w:rPr>
                <w:rFonts w:ascii="Arial" w:cs="Arial" w:eastAsia="Arial" w:hAnsi="Arial"/>
                <w:i w:val="1"/>
                <w:color w:val="8064a2"/>
                <w:sz w:val="24"/>
                <w:szCs w:val="24"/>
                <w:highlight w:val="yellow"/>
                <w:rtl w:val="0"/>
              </w:rPr>
              <w:t xml:space="preserve"> /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[&gt; £0]</w:t>
            </w:r>
            <w:r w:rsidDel="00000000" w:rsidR="00000000" w:rsidRPr="00000000">
              <w:rPr>
                <w:rtl w:val="0"/>
              </w:rPr>
            </w:r>
          </w:p>
        </w:tc>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w:t>
            </w:r>
            <w:r w:rsidDel="00000000" w:rsidR="00000000" w:rsidRPr="00000000">
              <w:rPr>
                <w:rFonts w:ascii="Arial" w:cs="Arial" w:eastAsia="Arial" w:hAnsi="Arial"/>
                <w:i w:val="1"/>
                <w:color w:val="000000"/>
                <w:sz w:val="24"/>
                <w:szCs w:val="24"/>
                <w:highlight w:val="yellow"/>
                <w:rtl w:val="0"/>
              </w:rPr>
              <w:t xml:space="preserve">90] </w:t>
            </w:r>
            <w:r w:rsidDel="00000000" w:rsidR="00000000" w:rsidRPr="00000000">
              <w:rPr>
                <w:rFonts w:ascii="Arial" w:cs="Arial" w:eastAsia="Arial" w:hAnsi="Arial"/>
                <w:i w:val="1"/>
                <w:color w:val="000000"/>
                <w:sz w:val="24"/>
                <w:szCs w:val="24"/>
                <w:rtl w:val="0"/>
              </w:rPr>
              <w:t xml:space="preserve">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based upon figures at the relevant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[&lt; [X]]%</w:t>
            </w:r>
            <w:r w:rsidDel="00000000" w:rsidR="00000000" w:rsidRPr="00000000">
              <w:rPr>
                <w:rtl w:val="0"/>
              </w:rPr>
            </w:r>
          </w:p>
        </w:tc>
        <w:tc>
          <w:tcPr>
            <w:vAlign w:val="cente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8064a2"/>
                <w:sz w:val="24"/>
                <w:szCs w:val="24"/>
              </w:rPr>
            </w:pPr>
            <w:r w:rsidDel="00000000" w:rsidR="00000000" w:rsidRPr="00000000">
              <w:rPr>
                <w:rFonts w:ascii="Arial" w:cs="Arial" w:eastAsia="Arial" w:hAnsi="Arial"/>
                <w:b w:val="1"/>
                <w:color w:val="8064a2"/>
                <w:sz w:val="24"/>
                <w:szCs w:val="24"/>
                <w:rtl w:val="0"/>
              </w:rPr>
              <w:t xml:space="preserve">Financial Target 8</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8064a2"/>
                <w:sz w:val="24"/>
                <w:szCs w:val="24"/>
                <w:highlight w:val="yellow"/>
                <w:rtl w:val="0"/>
              </w:rPr>
              <w:t xml:space="preserve">[etc.]</w:t>
            </w:r>
            <w:r w:rsidDel="00000000" w:rsidR="00000000" w:rsidRPr="00000000">
              <w:rPr>
                <w:rtl w:val="0"/>
              </w:rPr>
            </w:r>
          </w:p>
        </w:tc>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8064a2"/>
                <w:sz w:val="24"/>
                <w:szCs w:val="24"/>
                <w:highlight w:val="yellow"/>
                <w:rtl w:val="0"/>
              </w:rPr>
              <w:t xml:space="preserve">[etc.]</w:t>
            </w:r>
            <w:r w:rsidDel="00000000" w:rsidR="00000000" w:rsidRPr="00000000">
              <w:rPr>
                <w:rtl w:val="0"/>
              </w:rPr>
            </w:r>
          </w:p>
        </w:tc>
        <w:tc>
          <w:tcP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8064a2"/>
                <w:sz w:val="24"/>
                <w:szCs w:val="24"/>
                <w:highlight w:val="yellow"/>
                <w:rtl w:val="0"/>
              </w:rPr>
              <w:t xml:space="preserve">[etc.]</w:t>
            </w:r>
            <w:r w:rsidDel="00000000" w:rsidR="00000000" w:rsidRPr="00000000">
              <w:rPr>
                <w:rtl w:val="0"/>
              </w:rPr>
            </w:r>
          </w:p>
        </w:tc>
        <w:tc>
          <w:tcPr>
            <w:vAlign w:val="center"/>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8064a2"/>
                <w:sz w:val="24"/>
                <w:szCs w:val="24"/>
                <w:highlight w:val="yellow"/>
                <w:rtl w:val="0"/>
              </w:rPr>
              <w:t xml:space="preserve">[etc.]</w:t>
            </w:r>
            <w:r w:rsidDel="00000000" w:rsidR="00000000" w:rsidRPr="00000000">
              <w:rPr>
                <w:rtl w:val="0"/>
              </w:rPr>
            </w:r>
          </w:p>
        </w:tc>
      </w:tr>
    </w:tbl>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Monitored Suppliers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pos="1134"/>
        </w:tabs>
        <w:spacing w:after="120" w:before="120" w:lineRule="auto"/>
        <w:ind w:left="360"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w:t>
            </w:r>
          </w:p>
        </w:tc>
        <w:tc>
          <w:tcPr>
            <w:shd w:fill="d9d9d9" w:val="clear"/>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Applicable Financial Indicators</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[Entity 2 e.g Group Member, Sub-contractor, Relevant Parent Company etc.]</w:t>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[3][4][5][6][7][8][etc..]</w:t>
            </w:r>
          </w:p>
        </w:tc>
      </w:tr>
      <w:tr>
        <w:trPr>
          <w:cantSplit w:val="0"/>
          <w:tblHeader w:val="0"/>
        </w:trPr>
        <w:tc>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r>
    </w:tbl>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pos="1134"/>
        </w:tabs>
        <w:spacing w:after="120" w:before="120" w:lineRule="auto"/>
        <w:ind w:left="360" w:hanging="1004"/>
        <w:jc w:val="left"/>
        <w:rPr>
          <w:color w:val="000000"/>
        </w:rPr>
      </w:pPr>
      <w:r w:rsidDel="00000000" w:rsidR="00000000" w:rsidRPr="00000000">
        <w:rPr>
          <w:rtl w:val="0"/>
        </w:rPr>
      </w:r>
    </w:p>
    <w:p w:rsidR="00000000" w:rsidDel="00000000" w:rsidP="00000000" w:rsidRDefault="00000000" w:rsidRPr="00000000" w14:paraId="000000A3">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rights</w:t>
      </w:r>
    </w:p>
    <w:p w:rsidR="00000000" w:rsidDel="00000000" w:rsidP="00000000" w:rsidRDefault="00000000" w:rsidRPr="00000000" w14:paraId="000000A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be entitled to terminate the Contract if:</w:t>
      </w:r>
    </w:p>
    <w:p w:rsidR="00000000" w:rsidDel="00000000" w:rsidP="00000000" w:rsidRDefault="00000000" w:rsidRPr="00000000" w14:paraId="000000A5">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2.3(c);</w:t>
      </w:r>
    </w:p>
    <w:p w:rsidR="00000000" w:rsidDel="00000000" w:rsidP="00000000" w:rsidRDefault="00000000" w:rsidRPr="00000000" w14:paraId="000000A6">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7">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4.6(c),</w:t>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sz w:val="24"/>
          <w:szCs w:val="24"/>
          <w:rtl w:val="0"/>
        </w:rPr>
        <w:tab/>
        <w:tab/>
      </w: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9">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Primacy of Credit Ratings</w:t>
      </w:r>
    </w:p>
    <w:p w:rsidR="00000000" w:rsidDel="00000000" w:rsidP="00000000" w:rsidRDefault="00000000" w:rsidRPr="00000000" w14:paraId="000000A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3.1(b) to 3.1(g),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B">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AC">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4.3(b)(ii).</w:t>
      </w:r>
    </w:p>
    <w:p w:rsidR="00000000" w:rsidDel="00000000" w:rsidP="00000000" w:rsidRDefault="00000000" w:rsidRPr="00000000" w14:paraId="000000AD">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Board confirmation</w:t>
      </w:r>
    </w:p>
    <w:p w:rsidR="00000000" w:rsidDel="00000000" w:rsidP="00000000" w:rsidRDefault="00000000" w:rsidRPr="00000000" w14:paraId="000000A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has been specified as a Critical Service Contract under Paragraph 2.1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F">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B0">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B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4">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Optional Clauses</w:t>
      </w:r>
    </w:p>
    <w:p w:rsidR="00000000" w:rsidDel="00000000" w:rsidP="00000000" w:rsidRDefault="00000000" w:rsidRPr="00000000" w14:paraId="000000B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Buyer’s Call-Off Contract is a Bronze Contract, if specified in the Order Form, the terms at Annex 5 shall apply to the Call-Off Contract in place of the remainder of this Joint Schedule 7. </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B7">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and Bradstreet</w:t>
      </w:r>
    </w:p>
    <w:p w:rsidR="00000000" w:rsidDel="00000000" w:rsidP="00000000" w:rsidRDefault="00000000" w:rsidRPr="00000000" w14:paraId="000000B9">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A">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300" w:before="100" w:lineRule="auto"/>
        <w:rPr>
          <w:rFonts w:ascii="Arial Bold" w:cs="Arial Bold" w:eastAsia="Arial Bold" w:hAnsi="Arial Bold"/>
          <w:b w:val="1"/>
          <w:smallCaps w:val="1"/>
          <w:sz w:val="24"/>
          <w:szCs w:val="24"/>
        </w:rPr>
      </w:pPr>
      <w:bookmarkStart w:colFirst="0" w:colLast="0" w:name="_heading=h.1fob9te" w:id="4"/>
      <w:bookmarkEnd w:id="4"/>
      <w:r w:rsidDel="00000000" w:rsidR="00000000" w:rsidRPr="00000000">
        <w:rPr>
          <w:rFonts w:ascii="Arial Bold" w:cs="Arial Bold" w:eastAsia="Arial Bold" w:hAnsi="Arial Bold"/>
          <w:b w:val="1"/>
          <w:color w:val="000000"/>
          <w:sz w:val="24"/>
          <w:szCs w:val="24"/>
          <w:rtl w:val="0"/>
        </w:rPr>
        <w:t xml:space="preserve">Annex 2</w:t>
      </w:r>
      <w:r w:rsidDel="00000000" w:rsidR="00000000" w:rsidRPr="00000000">
        <w:rPr>
          <w:rFonts w:ascii="Arial Bold" w:cs="Arial Bold" w:eastAsia="Arial Bold" w:hAnsi="Arial Bold"/>
          <w:b w:val="1"/>
          <w:smallCaps w:val="1"/>
          <w:color w:val="000000"/>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Credit Ratings and Credit Rating Thresholds</w:t>
      </w:r>
      <w:r w:rsidDel="00000000" w:rsidR="00000000" w:rsidRPr="00000000">
        <w:rPr>
          <w:rtl w:val="0"/>
        </w:rPr>
      </w:r>
    </w:p>
    <w:p w:rsidR="00000000" w:rsidDel="00000000" w:rsidP="00000000" w:rsidRDefault="00000000" w:rsidRPr="00000000" w14:paraId="000000BC">
      <w:pPr>
        <w:keepNext w:val="1"/>
        <w:ind w:firstLine="426"/>
        <w:jc w:val="left"/>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Part 1: Current Rating - Lot 1a, 2a and 3a</w:t>
      </w:r>
      <w:r w:rsidDel="00000000" w:rsidR="00000000" w:rsidRPr="00000000">
        <w:rPr>
          <w:rtl w:val="0"/>
        </w:rPr>
      </w:r>
    </w:p>
    <w:tbl>
      <w:tblPr>
        <w:tblStyle w:val="Table4"/>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D">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BE">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BF">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shd w:fill="ffffff" w:val="clear"/>
          </w:tcPr>
          <w:p w:rsidR="00000000" w:rsidDel="00000000" w:rsidP="00000000" w:rsidRDefault="00000000" w:rsidRPr="00000000" w14:paraId="000000C0">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45</w:t>
            </w:r>
          </w:p>
        </w:tc>
      </w:tr>
      <w:tr>
        <w:trPr>
          <w:cantSplit w:val="0"/>
          <w:tblHeader w:val="0"/>
        </w:trPr>
        <w:tc>
          <w:tcPr>
            <w:shd w:fill="ffffff" w:val="clear"/>
          </w:tcPr>
          <w:p w:rsidR="00000000" w:rsidDel="00000000" w:rsidP="00000000" w:rsidRDefault="00000000" w:rsidRPr="00000000" w14:paraId="000000C1">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C2">
            <w:pPr>
              <w:keepNext w:val="1"/>
              <w:spacing w:after="120" w:before="240" w:lineRule="auto"/>
              <w:ind w:left="142" w:firstLine="0"/>
              <w:jc w:val="left"/>
              <w:rPr>
                <w:rFonts w:ascii="Arial" w:cs="Arial" w:eastAsia="Arial" w:hAnsi="Arial"/>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3">
            <w:pPr>
              <w:keepNext w:val="1"/>
              <w:spacing w:after="120" w:before="240" w:lineRule="auto"/>
              <w:ind w:left="142"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4">
            <w:pPr>
              <w:keepNext w:val="1"/>
              <w:spacing w:after="120" w:before="240" w:lineRule="auto"/>
              <w:ind w:left="142"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C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keepNext w:val="1"/>
        <w:jc w:val="left"/>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Current Rating - Lot 1b, 2b and 3b</w:t>
      </w:r>
      <w:r w:rsidDel="00000000" w:rsidR="00000000" w:rsidRPr="00000000">
        <w:rPr>
          <w:rtl w:val="0"/>
        </w:rPr>
      </w:r>
    </w:p>
    <w:tbl>
      <w:tblPr>
        <w:tblStyle w:val="Table5"/>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C8">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C9">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CA">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shd w:fill="ffffff" w:val="clear"/>
          </w:tcPr>
          <w:p w:rsidR="00000000" w:rsidDel="00000000" w:rsidP="00000000" w:rsidRDefault="00000000" w:rsidRPr="00000000" w14:paraId="000000CB">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60</w:t>
            </w:r>
          </w:p>
        </w:tc>
      </w:tr>
      <w:tr>
        <w:trPr>
          <w:cantSplit w:val="0"/>
          <w:tblHeader w:val="0"/>
        </w:trPr>
        <w:tc>
          <w:tcPr>
            <w:shd w:fill="ffffff" w:val="clear"/>
          </w:tcPr>
          <w:p w:rsidR="00000000" w:rsidDel="00000000" w:rsidP="00000000" w:rsidRDefault="00000000" w:rsidRPr="00000000" w14:paraId="000000CC">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CD">
            <w:pPr>
              <w:keepNext w:val="1"/>
              <w:spacing w:after="120" w:before="240" w:lineRule="auto"/>
              <w:ind w:left="142" w:firstLine="0"/>
              <w:jc w:val="left"/>
              <w:rPr>
                <w:rFonts w:ascii="Arial" w:cs="Arial" w:eastAsia="Arial" w:hAnsi="Arial"/>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E">
            <w:pPr>
              <w:keepNext w:val="1"/>
              <w:spacing w:after="120" w:before="240" w:lineRule="auto"/>
              <w:ind w:left="142"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F">
            <w:pPr>
              <w:keepNext w:val="1"/>
              <w:spacing w:after="120" w:before="240" w:lineRule="auto"/>
              <w:ind w:left="142"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D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keepNext w:val="1"/>
        <w:jc w:val="left"/>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Current Rating - Lot 1c, 2c and 3c</w:t>
      </w:r>
      <w:r w:rsidDel="00000000" w:rsidR="00000000" w:rsidRPr="00000000">
        <w:rPr>
          <w:rtl w:val="0"/>
        </w:rPr>
      </w:r>
    </w:p>
    <w:tbl>
      <w:tblPr>
        <w:tblStyle w:val="Table6"/>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D3">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D4">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D5">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shd w:fill="ffffff" w:val="clear"/>
          </w:tcPr>
          <w:p w:rsidR="00000000" w:rsidDel="00000000" w:rsidP="00000000" w:rsidRDefault="00000000" w:rsidRPr="00000000" w14:paraId="000000D6">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70</w:t>
            </w:r>
          </w:p>
        </w:tc>
      </w:tr>
      <w:tr>
        <w:trPr>
          <w:cantSplit w:val="0"/>
          <w:tblHeader w:val="0"/>
        </w:trPr>
        <w:tc>
          <w:tcPr>
            <w:shd w:fill="ffffff" w:val="clear"/>
          </w:tcPr>
          <w:p w:rsidR="00000000" w:rsidDel="00000000" w:rsidP="00000000" w:rsidRDefault="00000000" w:rsidRPr="00000000" w14:paraId="000000D7">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D8">
            <w:pPr>
              <w:keepNext w:val="1"/>
              <w:spacing w:after="120" w:before="240" w:lineRule="auto"/>
              <w:ind w:left="142" w:firstLine="0"/>
              <w:jc w:val="left"/>
              <w:rPr>
                <w:rFonts w:ascii="Arial" w:cs="Arial" w:eastAsia="Arial" w:hAnsi="Arial"/>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D9">
            <w:pPr>
              <w:keepNext w:val="1"/>
              <w:spacing w:after="120" w:before="240" w:lineRule="auto"/>
              <w:ind w:left="142"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DA">
            <w:pPr>
              <w:keepNext w:val="1"/>
              <w:spacing w:after="120" w:before="240" w:lineRule="auto"/>
              <w:ind w:left="142"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D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300" w:before="100" w:lineRule="auto"/>
        <w:rPr>
          <w:rFonts w:ascii="Arial Bold" w:cs="Arial Bold" w:eastAsia="Arial Bold" w:hAnsi="Arial Bold"/>
          <w:b w:val="1"/>
          <w:smallCaps w:val="1"/>
          <w:sz w:val="24"/>
          <w:szCs w:val="24"/>
        </w:rPr>
      </w:pPr>
      <w:bookmarkStart w:colFirst="0" w:colLast="0" w:name="_heading=h.vh1ltlu5a5b" w:id="5"/>
      <w:bookmarkEnd w:id="5"/>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3: Calculation methodology for Financial Indicators</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i w:val="1"/>
          <w:color w:val="000000"/>
          <w:sz w:val="24"/>
          <w:szCs w:val="24"/>
        </w:rPr>
      </w:pPr>
      <w:bookmarkStart w:colFirst="0" w:colLast="0" w:name="_heading=h.3znysh7" w:id="6"/>
      <w:bookmarkEnd w:id="6"/>
      <w:r w:rsidDel="00000000" w:rsidR="00000000" w:rsidRPr="00000000">
        <w:rPr>
          <w:rFonts w:ascii="Arial" w:cs="Arial" w:eastAsia="Arial" w:hAnsi="Arial"/>
          <w:b w:val="1"/>
          <w:i w:val="1"/>
          <w:color w:val="000000"/>
          <w:sz w:val="24"/>
          <w:szCs w:val="24"/>
          <w:highlight w:val="yellow"/>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E1">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E2">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bookmarkStart w:colFirst="0" w:colLast="0" w:name="_heading=h.2et92p0" w:id="7"/>
      <w:bookmarkEnd w:id="7"/>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E3">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E4">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7"/>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Methodology</w:t>
            </w:r>
          </w:p>
        </w:tc>
      </w:tr>
      <w:tr>
        <w:trPr>
          <w:cantSplit w:val="0"/>
          <w:trHeight w:val="4875" w:hRule="atLeast"/>
          <w:tblHeader w:val="0"/>
        </w:trPr>
        <w:tc>
          <w:tcPr>
            <w:vAlign w:val="center"/>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[Operating Margin]</w:t>
            </w:r>
            <w:r w:rsidDel="00000000" w:rsidR="00000000" w:rsidRPr="00000000">
              <w:rPr>
                <w:rtl w:val="0"/>
              </w:rPr>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Figures for Operating Profit and Revenue should exclude the entity’s share of the results of any joint ventures or Associates.</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Where an entity has an operating loss (i.e. where the operating profit is negative), Operating Profit should be taken to be zero.]</w:t>
            </w:r>
            <w:r w:rsidDel="00000000" w:rsidR="00000000" w:rsidRPr="00000000">
              <w:rPr>
                <w:rtl w:val="0"/>
              </w:rPr>
            </w:r>
          </w:p>
        </w:tc>
      </w:tr>
      <w:tr>
        <w:trPr>
          <w:cantSplit w:val="0"/>
          <w:tblHeader w:val="0"/>
        </w:trPr>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[Free Cash Flow to Net Debt Ratio]</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Debt to EBITDA Ratio]</w:t>
            </w:r>
            <w:r w:rsidDel="00000000" w:rsidR="00000000" w:rsidRPr="00000000">
              <w:rPr>
                <w:rtl w:val="0"/>
              </w:rPr>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Free Cash Flow</w:t>
            </w:r>
            <w:r w:rsidDel="00000000" w:rsidR="00000000" w:rsidRPr="00000000">
              <w:rPr>
                <w:rFonts w:ascii="Arial" w:cs="Arial" w:eastAsia="Arial" w:hAnsi="Arial"/>
                <w:i w:val="1"/>
                <w:color w:val="000000"/>
                <w:sz w:val="24"/>
                <w:szCs w:val="24"/>
                <w:highlight w:val="yellow"/>
                <w:rtl w:val="0"/>
              </w:rPr>
              <w:t xml:space="preserve">” = Net Cash Flow from Operating Activities – Capital Expenditure</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Capital Expenditure</w:t>
            </w:r>
            <w:r w:rsidDel="00000000" w:rsidR="00000000" w:rsidRPr="00000000">
              <w:rPr>
                <w:rFonts w:ascii="Arial" w:cs="Arial" w:eastAsia="Arial" w:hAnsi="Arial"/>
                <w:i w:val="1"/>
                <w:color w:val="000000"/>
                <w:sz w:val="24"/>
                <w:szCs w:val="24"/>
                <w:highlight w:val="yellow"/>
                <w:rtl w:val="0"/>
              </w:rPr>
              <w:t xml:space="preserve">” = Purchase of property, plant &amp; equipment + purchase of intangible assets</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Net Debt</w:t>
            </w:r>
            <w:r w:rsidDel="00000000" w:rsidR="00000000" w:rsidRPr="00000000">
              <w:rPr>
                <w:rFonts w:ascii="Arial" w:cs="Arial" w:eastAsia="Arial" w:hAnsi="Arial"/>
                <w:i w:val="1"/>
                <w:color w:val="000000"/>
                <w:sz w:val="24"/>
                <w:szCs w:val="24"/>
                <w:highlight w:val="yellow"/>
                <w:rtl w:val="0"/>
              </w:rPr>
              <w:t xml:space="preserve">” = Bank overdrafts + Loans and borrowings + Finance Leases + Deferred consideration payable – Cash and cash equivalents</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Net Cash Flow from Operating Activities</w:t>
            </w:r>
            <w:r w:rsidDel="00000000" w:rsidR="00000000" w:rsidRPr="00000000">
              <w:rPr>
                <w:rFonts w:ascii="Arial" w:cs="Arial" w:eastAsia="Arial" w:hAnsi="Arial"/>
                <w:color w:val="000000"/>
                <w:sz w:val="24"/>
                <w:szCs w:val="24"/>
                <w:highlight w:val="yellow"/>
                <w:rtl w:val="0"/>
              </w:rPr>
              <w:t xml:space="preserve">: This should be stated after deduction of interest and tax paid.</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Capital expenditure</w:t>
            </w:r>
            <w:r w:rsidDel="00000000" w:rsidR="00000000" w:rsidRPr="00000000">
              <w:rPr>
                <w:rFonts w:ascii="Arial" w:cs="Arial" w:eastAsia="Arial" w:hAnsi="Arial"/>
                <w:color w:val="000000"/>
                <w:sz w:val="24"/>
                <w:szCs w:val="24"/>
                <w:highlight w:val="yellow"/>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Net Debt</w:t>
            </w:r>
            <w:r w:rsidDel="00000000" w:rsidR="00000000" w:rsidRPr="00000000">
              <w:rPr>
                <w:rFonts w:ascii="Arial" w:cs="Arial" w:eastAsia="Arial" w:hAnsi="Arial"/>
                <w:color w:val="000000"/>
                <w:sz w:val="24"/>
                <w:szCs w:val="24"/>
                <w:highlight w:val="yellow"/>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Deferred consideration payable should be included in Net Debt despite typically being non-interest bearing.</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Cash and cash equivalents should include short-term financial investments shown in current assets.</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Where Net debt is negative (i.e. an entity has net cash), the relevant Financial Target Threshold should be treated as having been met.]</w:t>
            </w: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Net Debt</w:t>
            </w:r>
            <w:r w:rsidDel="00000000" w:rsidR="00000000" w:rsidRPr="00000000">
              <w:rPr>
                <w:rFonts w:ascii="Arial" w:cs="Arial" w:eastAsia="Arial" w:hAnsi="Arial"/>
                <w:i w:val="1"/>
                <w:color w:val="000000"/>
                <w:sz w:val="24"/>
                <w:szCs w:val="24"/>
                <w:highlight w:val="yellow"/>
                <w:rtl w:val="0"/>
              </w:rPr>
              <w:t xml:space="preserve">” = Bank overdrafts + Loans and borrowings + Finance leases + Deferred consideration payable – Cash and cash equivalents</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EBITDA</w:t>
            </w:r>
            <w:r w:rsidDel="00000000" w:rsidR="00000000" w:rsidRPr="00000000">
              <w:rPr>
                <w:rFonts w:ascii="Arial" w:cs="Arial" w:eastAsia="Arial" w:hAnsi="Arial"/>
                <w:i w:val="1"/>
                <w:color w:val="000000"/>
                <w:sz w:val="24"/>
                <w:szCs w:val="24"/>
                <w:highlight w:val="yellow"/>
                <w:rtl w:val="0"/>
              </w:rPr>
              <w:t xml:space="preserve">” = Operating profit + Depreciation charge + Amortisation charge</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Net Debt</w:t>
            </w:r>
            <w:r w:rsidDel="00000000" w:rsidR="00000000" w:rsidRPr="00000000">
              <w:rPr>
                <w:rFonts w:ascii="Arial" w:cs="Arial" w:eastAsia="Arial" w:hAnsi="Arial"/>
                <w:color w:val="000000"/>
                <w:sz w:val="24"/>
                <w:szCs w:val="24"/>
                <w:highlight w:val="yellow"/>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Deferred consideration payable should be included in Net Debt despite typically being non-interest bearing.</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Cash and cash equivalents should include short-term financial investments shown in current assets.</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Where Net debt is negative (i.e. an entity has net cash), the relevant Financial Target Threshold should be treated as having been met. </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bookmarkStart w:colFirst="0" w:colLast="0" w:name="_heading=h.tyjcwt" w:id="8"/>
            <w:bookmarkEnd w:id="8"/>
            <w:r w:rsidDel="00000000" w:rsidR="00000000" w:rsidRPr="00000000">
              <w:rPr>
                <w:rFonts w:ascii="Arial" w:cs="Arial" w:eastAsia="Arial" w:hAnsi="Arial"/>
                <w:i w:val="1"/>
                <w:color w:val="000000"/>
                <w:sz w:val="24"/>
                <w:szCs w:val="24"/>
                <w:highlight w:val="yellow"/>
                <w:u w:val="single"/>
                <w:rtl w:val="0"/>
              </w:rPr>
              <w:t xml:space="preserve">EBITDA</w:t>
            </w:r>
            <w:r w:rsidDel="00000000" w:rsidR="00000000" w:rsidRPr="00000000">
              <w:rPr>
                <w:rFonts w:ascii="Arial" w:cs="Arial" w:eastAsia="Arial" w:hAnsi="Arial"/>
                <w:color w:val="000000"/>
                <w:sz w:val="24"/>
                <w:szCs w:val="24"/>
                <w:highlight w:val="yellow"/>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highlight w:val="yellow"/>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Debt + Net  Pension Deficit to EBITDA ratio]</w:t>
            </w:r>
            <w:r w:rsidDel="00000000" w:rsidR="00000000" w:rsidRPr="00000000">
              <w:rPr>
                <w:rtl w:val="0"/>
              </w:rPr>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Net Debt</w:t>
            </w:r>
            <w:r w:rsidDel="00000000" w:rsidR="00000000" w:rsidRPr="00000000">
              <w:rPr>
                <w:rFonts w:ascii="Arial" w:cs="Arial" w:eastAsia="Arial" w:hAnsi="Arial"/>
                <w:i w:val="1"/>
                <w:color w:val="000000"/>
                <w:sz w:val="24"/>
                <w:szCs w:val="24"/>
                <w:highlight w:val="yellow"/>
                <w:rtl w:val="0"/>
              </w:rPr>
              <w:t xml:space="preserve">” = Bank overdrafts + Loans and borrowings + Finance leases + Deferred consideration payable – Cash and cash equivalents</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Net Pension Deficit</w:t>
            </w:r>
            <w:r w:rsidDel="00000000" w:rsidR="00000000" w:rsidRPr="00000000">
              <w:rPr>
                <w:rFonts w:ascii="Arial" w:cs="Arial" w:eastAsia="Arial" w:hAnsi="Arial"/>
                <w:i w:val="1"/>
                <w:color w:val="000000"/>
                <w:sz w:val="24"/>
                <w:szCs w:val="24"/>
                <w:highlight w:val="yellow"/>
                <w:rtl w:val="0"/>
              </w:rPr>
              <w:t xml:space="preserve">” = Retirement Benefit Obligations – Retirement Benefit Assets</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EBITDA</w:t>
            </w:r>
            <w:r w:rsidDel="00000000" w:rsidR="00000000" w:rsidRPr="00000000">
              <w:rPr>
                <w:rFonts w:ascii="Arial" w:cs="Arial" w:eastAsia="Arial" w:hAnsi="Arial"/>
                <w:i w:val="1"/>
                <w:color w:val="000000"/>
                <w:sz w:val="24"/>
                <w:szCs w:val="24"/>
                <w:highlight w:val="yellow"/>
                <w:rtl w:val="0"/>
              </w:rPr>
              <w:t xml:space="preserve">” = Operating profit + Depreciation charge + Amortisation charge</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Net Debt</w:t>
            </w:r>
            <w:r w:rsidDel="00000000" w:rsidR="00000000" w:rsidRPr="00000000">
              <w:rPr>
                <w:rFonts w:ascii="Arial" w:cs="Arial" w:eastAsia="Arial" w:hAnsi="Arial"/>
                <w:color w:val="000000"/>
                <w:sz w:val="24"/>
                <w:szCs w:val="24"/>
                <w:highlight w:val="yellow"/>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highlight w:val="yellow"/>
                <w:rtl w:val="0"/>
              </w:rPr>
              <w:t xml:space="preserve">not</w:t>
            </w:r>
            <w:r w:rsidDel="00000000" w:rsidR="00000000" w:rsidRPr="00000000">
              <w:rPr>
                <w:rFonts w:ascii="Arial" w:cs="Arial" w:eastAsia="Arial" w:hAnsi="Arial"/>
                <w:color w:val="000000"/>
                <w:sz w:val="24"/>
                <w:szCs w:val="24"/>
                <w:highlight w:val="yellow"/>
                <w:rtl w:val="0"/>
              </w:rPr>
              <w:t xml:space="preserve"> non-designated hedges). Borrowings should also include balances owed to other group members.</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Deferred consideration payable should be included in Net Debt despite typically being non-interest bearing.</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Cash and cash equivalents should include short-term financial investments shown in current assets.</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Net Pension Deficit</w:t>
            </w:r>
            <w:r w:rsidDel="00000000" w:rsidR="00000000" w:rsidRPr="00000000">
              <w:rPr>
                <w:rFonts w:ascii="Arial" w:cs="Arial" w:eastAsia="Arial" w:hAnsi="Arial"/>
                <w:color w:val="000000"/>
                <w:sz w:val="24"/>
                <w:szCs w:val="24"/>
                <w:highlight w:val="yellow"/>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Where ‘Net Debt + Net Pension Deficit’ is negative, the relevant Financial Target Threshold should be treated as having been met.</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EBITDA</w:t>
            </w:r>
            <w:r w:rsidDel="00000000" w:rsidR="00000000" w:rsidRPr="00000000">
              <w:rPr>
                <w:rFonts w:ascii="Arial" w:cs="Arial" w:eastAsia="Arial" w:hAnsi="Arial"/>
                <w:color w:val="000000"/>
                <w:sz w:val="24"/>
                <w:szCs w:val="24"/>
                <w:highlight w:val="yellow"/>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bookmarkStart w:colFirst="0" w:colLast="0" w:name="_heading=h.3dy6vkm" w:id="9"/>
            <w:bookmarkEnd w:id="9"/>
            <w:r w:rsidDel="00000000" w:rsidR="00000000" w:rsidRPr="00000000">
              <w:rPr>
                <w:rFonts w:ascii="Arial" w:cs="Arial" w:eastAsia="Arial" w:hAnsi="Arial"/>
                <w:color w:val="000000"/>
                <w:sz w:val="24"/>
                <w:szCs w:val="24"/>
                <w:highlight w:val="yellow"/>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Interest Paid Cover]</w:t>
            </w:r>
            <w:r w:rsidDel="00000000" w:rsidR="00000000" w:rsidRPr="00000000">
              <w:rPr>
                <w:rtl w:val="0"/>
              </w:rPr>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Earnings Before Interest and Tax</w:t>
            </w:r>
            <w:r w:rsidDel="00000000" w:rsidR="00000000" w:rsidRPr="00000000">
              <w:rPr>
                <w:rFonts w:ascii="Arial" w:cs="Arial" w:eastAsia="Arial" w:hAnsi="Arial"/>
                <w:i w:val="1"/>
                <w:color w:val="000000"/>
                <w:sz w:val="24"/>
                <w:szCs w:val="24"/>
                <w:highlight w:val="yellow"/>
                <w:rtl w:val="0"/>
              </w:rPr>
              <w:t xml:space="preserve">” = Operating profit</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Net Interest Paid</w:t>
            </w:r>
            <w:r w:rsidDel="00000000" w:rsidR="00000000" w:rsidRPr="00000000">
              <w:rPr>
                <w:rFonts w:ascii="Arial" w:cs="Arial" w:eastAsia="Arial" w:hAnsi="Arial"/>
                <w:i w:val="1"/>
                <w:color w:val="000000"/>
                <w:sz w:val="24"/>
                <w:szCs w:val="24"/>
                <w:highlight w:val="yellow"/>
                <w:rtl w:val="0"/>
              </w:rPr>
              <w:t xml:space="preserve">” = Interest paid – Interest received</w:t>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Interest received and interest paid should be shown on the face of the Cash Flow statement.</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[Acid Ratio]</w:t>
            </w:r>
            <w:r w:rsidDel="00000000" w:rsidR="00000000" w:rsidRPr="00000000">
              <w:rPr>
                <w:rtl w:val="0"/>
              </w:rPr>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[All elements that are used to calculate the Acid Ratio are available on the face of the Balance Sheet in a standard set of financial statements.]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Asset value]</w:t>
            </w:r>
            <w:r w:rsidDel="00000000" w:rsidR="00000000" w:rsidRPr="00000000">
              <w:rPr>
                <w:rtl w:val="0"/>
              </w:rPr>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[Group Exposure Ratio]</w:t>
            </w:r>
            <w:r w:rsidDel="00000000" w:rsidR="00000000" w:rsidRPr="00000000">
              <w:rPr>
                <w:rtl w:val="0"/>
              </w:rPr>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Group Exposure</w:t>
            </w:r>
            <w:r w:rsidDel="00000000" w:rsidR="00000000" w:rsidRPr="00000000">
              <w:rPr>
                <w:rFonts w:ascii="Arial" w:cs="Arial" w:eastAsia="Arial" w:hAnsi="Arial"/>
                <w:i w:val="1"/>
                <w:color w:val="000000"/>
                <w:sz w:val="24"/>
                <w:szCs w:val="24"/>
                <w:highlight w:val="yellow"/>
                <w:rtl w:val="0"/>
              </w:rPr>
              <w:t xml:space="preserve">” = Balances owed by Group Undertakings + Contingent liabilities assumed in support of Group Undertakings</w:t>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Gross Assets</w:t>
            </w:r>
            <w:r w:rsidDel="00000000" w:rsidR="00000000" w:rsidRPr="00000000">
              <w:rPr>
                <w:rFonts w:ascii="Arial" w:cs="Arial" w:eastAsia="Arial" w:hAnsi="Arial"/>
                <w:i w:val="1"/>
                <w:color w:val="000000"/>
                <w:sz w:val="24"/>
                <w:szCs w:val="24"/>
                <w:highlight w:val="yellow"/>
                <w:rtl w:val="0"/>
              </w:rPr>
              <w:t xml:space="preserve">” = Fixed Assets + Current Assets</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Group Exposure</w:t>
            </w:r>
            <w:r w:rsidDel="00000000" w:rsidR="00000000" w:rsidRPr="00000000">
              <w:rPr>
                <w:rFonts w:ascii="Arial" w:cs="Arial" w:eastAsia="Arial" w:hAnsi="Arial"/>
                <w:color w:val="000000"/>
                <w:sz w:val="24"/>
                <w:szCs w:val="24"/>
                <w:highlight w:val="yellow"/>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Gross Assets</w:t>
            </w:r>
            <w:r w:rsidDel="00000000" w:rsidR="00000000" w:rsidRPr="00000000">
              <w:rPr>
                <w:rFonts w:ascii="Arial" w:cs="Arial" w:eastAsia="Arial" w:hAnsi="Arial"/>
                <w:color w:val="000000"/>
                <w:sz w:val="24"/>
                <w:szCs w:val="24"/>
                <w:highlight w:val="yellow"/>
                <w:rtl w:val="0"/>
              </w:rPr>
              <w:t xml:space="preserve">: Both Fixed assets and Current assets are shown on the face of the Balance Sheet]</w:t>
            </w:r>
          </w:p>
        </w:tc>
      </w:tr>
      <w:tr>
        <w:trPr>
          <w:cantSplit w:val="0"/>
          <w:tblHeader w:val="0"/>
        </w:trPr>
        <w:tc>
          <w:tcPr>
            <w:vAlign w:val="center"/>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8</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additional Financial Indicators as necessary]</w:t>
            </w:r>
            <w:r w:rsidDel="00000000" w:rsidR="00000000" w:rsidRPr="00000000">
              <w:rPr>
                <w:rtl w:val="0"/>
              </w:rPr>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u w:val="single"/>
              </w:rPr>
            </w:pPr>
            <w:r w:rsidDel="00000000" w:rsidR="00000000" w:rsidRPr="00000000">
              <w:rPr>
                <w:rFonts w:ascii="Arial" w:cs="Arial" w:eastAsia="Arial" w:hAnsi="Arial"/>
                <w:i w:val="1"/>
                <w:color w:val="000000"/>
                <w:sz w:val="24"/>
                <w:szCs w:val="24"/>
                <w:highlight w:val="yellow"/>
                <w:u w:val="single"/>
                <w:rtl w:val="0"/>
              </w:rPr>
              <w:t xml:space="preserve">[Etc..]</w:t>
            </w:r>
          </w:p>
        </w:tc>
      </w:tr>
    </w:tbl>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300" w:before="100" w:lineRule="auto"/>
        <w:jc w:val="left"/>
        <w:rPr>
          <w:rFonts w:ascii="Arial Bold" w:cs="Arial Bold" w:eastAsia="Arial Bold" w:hAnsi="Arial Bold"/>
          <w:b w:val="1"/>
          <w:smallCaps w:val="1"/>
          <w:color w:val="000000"/>
          <w:sz w:val="24"/>
          <w:szCs w:val="24"/>
        </w:rPr>
      </w:pPr>
      <w:bookmarkStart w:colFirst="0" w:colLast="0" w:name="_heading=h.1t3h5sf" w:id="10"/>
      <w:bookmarkEnd w:id="10"/>
      <w:r w:rsidDel="00000000" w:rsidR="00000000" w:rsidRPr="00000000">
        <w:rPr>
          <w:rFonts w:ascii="Arial Bold" w:cs="Arial Bold" w:eastAsia="Arial Bold" w:hAnsi="Arial Bold"/>
          <w:b w:val="1"/>
          <w:smallCaps w:val="1"/>
          <w:color w:val="000000"/>
          <w:sz w:val="24"/>
          <w:szCs w:val="24"/>
          <w:rtl w:val="0"/>
        </w:rPr>
        <w:t xml:space="preserve">Annex 4: Board Confirmation</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bookmarkStart w:colFirst="0" w:colLast="0" w:name="_heading=h.4d34og8" w:id="11"/>
      <w:bookmarkEnd w:id="11"/>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4E">
      <w:pPr>
        <w:numPr>
          <w:ilvl w:val="3"/>
          <w:numId w:val="3"/>
        </w:numPr>
        <w:pBdr>
          <w:top w:space="0" w:sz="0" w:val="nil"/>
          <w:left w:space="0" w:sz="0" w:val="nil"/>
          <w:bottom w:space="0" w:sz="0" w:val="nil"/>
          <w:right w:space="0" w:sz="0" w:val="nil"/>
          <w:between w:space="0" w:sz="0" w:val="nil"/>
        </w:pBdr>
        <w:tabs>
          <w:tab w:val="left" w:pos="720"/>
          <w:tab w:val="left"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4F">
      <w:pPr>
        <w:numPr>
          <w:ilvl w:val="3"/>
          <w:numId w:val="3"/>
        </w:numPr>
        <w:pBdr>
          <w:top w:space="0" w:sz="0" w:val="nil"/>
          <w:left w:space="0" w:sz="0" w:val="nil"/>
          <w:bottom w:space="0" w:sz="0" w:val="nil"/>
          <w:right w:space="0" w:sz="0" w:val="nil"/>
          <w:between w:space="0" w:sz="0" w:val="nil"/>
        </w:pBdr>
        <w:tabs>
          <w:tab w:val="left" w:pos="720"/>
          <w:tab w:val="left"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B">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5C">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5D">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5E">
      <w:pPr>
        <w:keepNext w:val="1"/>
        <w:numPr>
          <w:ilvl w:val="0"/>
          <w:numId w:val="4"/>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15F">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5, the following words shall have the following meanings and they shall supplement Joint Schedule 1 (Definitions):</w:t>
      </w:r>
    </w:p>
    <w:tbl>
      <w:tblPr>
        <w:tblStyle w:val="Table8"/>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161">
            <w:pPr>
              <w:numPr>
                <w:ilvl w:val="0"/>
                <w:numId w:val="1"/>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163">
            <w:pPr>
              <w:numPr>
                <w:ilvl w:val="0"/>
                <w:numId w:val="1"/>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or one or more of the following events:</w:t>
            </w:r>
          </w:p>
          <w:p w:rsidR="00000000" w:rsidDel="00000000" w:rsidP="00000000" w:rsidRDefault="00000000" w:rsidRPr="00000000" w14:paraId="00000164">
            <w:pPr>
              <w:numPr>
                <w:ilvl w:val="1"/>
                <w:numId w:val="1"/>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the Monitored Company dropping below the applicable Credit Rating Threshold;</w:t>
            </w:r>
          </w:p>
          <w:p w:rsidR="00000000" w:rsidDel="00000000" w:rsidP="00000000" w:rsidRDefault="00000000" w:rsidRPr="00000000" w14:paraId="00000165">
            <w:pPr>
              <w:numPr>
                <w:ilvl w:val="1"/>
                <w:numId w:val="1"/>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66">
            <w:pPr>
              <w:numPr>
                <w:ilvl w:val="1"/>
                <w:numId w:val="1"/>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67">
            <w:pPr>
              <w:numPr>
                <w:ilvl w:val="1"/>
                <w:numId w:val="1"/>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Monitored Company committing a material breach of covenant to its lenders; </w:t>
            </w:r>
          </w:p>
          <w:p w:rsidR="00000000" w:rsidDel="00000000" w:rsidP="00000000" w:rsidRDefault="00000000" w:rsidRPr="00000000" w14:paraId="00000168">
            <w:pPr>
              <w:numPr>
                <w:ilvl w:val="1"/>
                <w:numId w:val="1"/>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69">
            <w:pPr>
              <w:numPr>
                <w:ilvl w:val="1"/>
                <w:numId w:val="1"/>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16A">
            <w:pPr>
              <w:numPr>
                <w:ilvl w:val="2"/>
                <w:numId w:val="1"/>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6B">
            <w:pPr>
              <w:numPr>
                <w:ilvl w:val="2"/>
                <w:numId w:val="1"/>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the Monitored Company of any financial indebtedness;</w:t>
            </w:r>
          </w:p>
          <w:p w:rsidR="00000000" w:rsidDel="00000000" w:rsidP="00000000" w:rsidRDefault="00000000" w:rsidRPr="00000000" w14:paraId="0000016C">
            <w:pPr>
              <w:numPr>
                <w:ilvl w:val="2"/>
                <w:numId w:val="1"/>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the Monitored Company becoming due as a result of an event of default; or</w:t>
            </w:r>
          </w:p>
          <w:p w:rsidR="00000000" w:rsidDel="00000000" w:rsidP="00000000" w:rsidRDefault="00000000" w:rsidRPr="00000000" w14:paraId="0000016D">
            <w:pPr>
              <w:numPr>
                <w:ilvl w:val="2"/>
                <w:numId w:val="1"/>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the Monitored Company</w:t>
            </w:r>
          </w:p>
          <w:p w:rsidR="00000000" w:rsidDel="00000000" w:rsidP="00000000" w:rsidRDefault="00000000" w:rsidRPr="00000000" w14:paraId="0000016E">
            <w:pPr>
              <w:numPr>
                <w:ilvl w:val="0"/>
                <w:numId w:val="1"/>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Service Continuity Plan"</w:t>
            </w:r>
          </w:p>
        </w:tc>
        <w:tc>
          <w:tcPr/>
          <w:p w:rsidR="00000000" w:rsidDel="00000000" w:rsidP="00000000" w:rsidRDefault="00000000" w:rsidRPr="00000000" w14:paraId="00000170">
            <w:pPr>
              <w:numPr>
                <w:ilvl w:val="0"/>
                <w:numId w:val="1"/>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Company”</w:t>
            </w:r>
          </w:p>
        </w:tc>
        <w:tc>
          <w:tcPr/>
          <w:p w:rsidR="00000000" w:rsidDel="00000000" w:rsidP="00000000" w:rsidRDefault="00000000" w:rsidRPr="00000000" w14:paraId="00000172">
            <w:pPr>
              <w:numPr>
                <w:ilvl w:val="0"/>
                <w:numId w:val="1"/>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w:t>
            </w:r>
            <w:r w:rsidDel="00000000" w:rsidR="00000000" w:rsidRPr="00000000">
              <w:rPr>
                <w:rFonts w:ascii="Arial" w:cs="Arial" w:eastAsia="Arial" w:hAnsi="Arial"/>
                <w:color w:val="000000"/>
                <w:sz w:val="24"/>
                <w:szCs w:val="24"/>
                <w:highlight w:val="yellow"/>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174">
            <w:pPr>
              <w:numPr>
                <w:ilvl w:val="0"/>
                <w:numId w:val="1"/>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Appendix 1.</w:t>
            </w:r>
          </w:p>
        </w:tc>
      </w:tr>
    </w:tbl>
    <w:p w:rsidR="00000000" w:rsidDel="00000000" w:rsidP="00000000" w:rsidRDefault="00000000" w:rsidRPr="00000000" w14:paraId="00000175">
      <w:pPr>
        <w:keepNext w:val="1"/>
        <w:numPr>
          <w:ilvl w:val="0"/>
          <w:numId w:val="4"/>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bookmarkStart w:colFirst="0" w:colLast="0" w:name="_heading=h.2s8eyo1" w:id="12"/>
      <w:bookmarkEnd w:id="12"/>
      <w:r w:rsidDel="00000000" w:rsidR="00000000" w:rsidRPr="00000000">
        <w:rPr>
          <w:rFonts w:ascii="Arial Bold" w:cs="Arial Bold" w:eastAsia="Arial Bold" w:hAnsi="Arial Bold"/>
          <w:b w:val="1"/>
          <w:color w:val="000000"/>
          <w:sz w:val="24"/>
          <w:szCs w:val="24"/>
          <w:rtl w:val="0"/>
        </w:rPr>
        <w:t xml:space="preserve">When this Schedule applies</w:t>
      </w:r>
      <w:r w:rsidDel="00000000" w:rsidR="00000000" w:rsidRPr="00000000">
        <w:rPr>
          <w:rtl w:val="0"/>
        </w:rPr>
      </w:r>
    </w:p>
    <w:p w:rsidR="00000000" w:rsidDel="00000000" w:rsidP="00000000" w:rsidRDefault="00000000" w:rsidRPr="00000000" w14:paraId="0000017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77">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terms of this Annex 5 shall survive: </w:t>
      </w:r>
    </w:p>
    <w:p w:rsidR="00000000" w:rsidDel="00000000" w:rsidP="00000000" w:rsidRDefault="00000000" w:rsidRPr="00000000" w14:paraId="00000178">
      <w:pPr>
        <w:numPr>
          <w:ilvl w:val="2"/>
          <w:numId w:val="4"/>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79">
      <w:pPr>
        <w:numPr>
          <w:ilvl w:val="2"/>
          <w:numId w:val="4"/>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p>
    <w:p w:rsidR="00000000" w:rsidDel="00000000" w:rsidP="00000000" w:rsidRDefault="00000000" w:rsidRPr="00000000" w14:paraId="0000017A">
      <w:pPr>
        <w:keepNext w:val="1"/>
        <w:numPr>
          <w:ilvl w:val="0"/>
          <w:numId w:val="4"/>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17B">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17dp8vu" w:id="13"/>
      <w:bookmarkEnd w:id="13"/>
      <w:r w:rsidDel="00000000" w:rsidR="00000000" w:rsidRPr="00000000">
        <w:rPr>
          <w:rFonts w:ascii="Arial" w:cs="Arial" w:eastAsia="Arial" w:hAnsi="Arial"/>
          <w:color w:val="000000"/>
          <w:sz w:val="24"/>
          <w:szCs w:val="24"/>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7C">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7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7E">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8"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9"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pos="3402"/>
        </w:tabs>
        <w:spacing w:after="22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tbl>
      <w:tblPr>
        <w:tblStyle w:val="Table9"/>
        <w:tblW w:w="831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the current liabilities of the Monitored Company].</w:t>
            </w:r>
          </w:p>
        </w:tc>
      </w:tr>
    </w:tbl>
    <w:p w:rsidR="00000000" w:rsidDel="00000000" w:rsidP="00000000" w:rsidRDefault="00000000" w:rsidRPr="00000000" w14:paraId="00000188">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3rdcrjn" w:id="14"/>
      <w:bookmarkEnd w:id="14"/>
      <w:r w:rsidDel="00000000" w:rsidR="00000000" w:rsidRPr="00000000">
        <w:rPr>
          <w:rFonts w:ascii="Arial" w:cs="Arial" w:eastAsia="Arial" w:hAnsi="Arial"/>
          <w:color w:val="000000"/>
          <w:sz w:val="24"/>
          <w:szCs w:val="24"/>
          <w:rtl w:val="0"/>
        </w:rPr>
        <w:t xml:space="preserve">The Supplier shall: </w:t>
      </w:r>
    </w:p>
    <w:p w:rsidR="00000000" w:rsidDel="00000000" w:rsidP="00000000" w:rsidRDefault="00000000" w:rsidRPr="00000000" w14:paraId="00000189">
      <w:pPr>
        <w:numPr>
          <w:ilvl w:val="2"/>
          <w:numId w:val="4"/>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Monitored Company with the Rating Agencies; and </w:t>
      </w:r>
    </w:p>
    <w:p w:rsidR="00000000" w:rsidDel="00000000" w:rsidP="00000000" w:rsidRDefault="00000000" w:rsidRPr="00000000" w14:paraId="0000018A">
      <w:pPr>
        <w:numPr>
          <w:ilvl w:val="2"/>
          <w:numId w:val="4"/>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26in1rg" w:id="15"/>
      <w:bookmarkEnd w:id="15"/>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8B">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8C">
      <w:pPr>
        <w:keepNext w:val="1"/>
        <w:numPr>
          <w:ilvl w:val="0"/>
          <w:numId w:val="4"/>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18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lnxbz9" w:id="16"/>
      <w:bookmarkEnd w:id="16"/>
      <w:r w:rsidDel="00000000" w:rsidR="00000000" w:rsidRPr="00000000">
        <w:rPr>
          <w:rFonts w:ascii="Arial" w:cs="Arial" w:eastAsia="Arial" w:hAnsi="Arial"/>
          <w:color w:val="000000"/>
          <w:sz w:val="24"/>
          <w:szCs w:val="24"/>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pos="1134"/>
        </w:tabs>
        <w:spacing w:after="120" w:before="120" w:lineRule="auto"/>
        <w:ind w:left="936" w:hanging="1004"/>
        <w:jc w:val="left"/>
        <w:rPr>
          <w:rFonts w:ascii="Arial" w:cs="Arial" w:eastAsia="Arial" w:hAnsi="Arial"/>
          <w:color w:val="000000"/>
          <w:sz w:val="24"/>
          <w:szCs w:val="24"/>
        </w:rPr>
      </w:pPr>
      <w:bookmarkStart w:colFirst="0" w:colLast="0" w:name="_heading=h.35nkun2" w:id="18"/>
      <w:bookmarkEnd w:id="18"/>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color w:val="000000"/>
          <w:sz w:val="24"/>
          <w:szCs w:val="24"/>
          <w:rtl w:val="0"/>
        </w:rPr>
        <w:t xml:space="preserve">: delete this clause if there are no Key Subcontractors or the Key Subcontractors are not</w:t>
      </w:r>
      <w:bookmarkStart w:colFirst="0" w:colLast="0" w:name="bookmark=id.1ksv4uv" w:id="17"/>
      <w:bookmarkEnd w:id="17"/>
      <w:r w:rsidDel="00000000" w:rsidR="00000000" w:rsidRPr="00000000">
        <w:rPr>
          <w:rFonts w:ascii="Arial" w:cs="Arial" w:eastAsia="Arial" w:hAnsi="Arial"/>
          <w:color w:val="000000"/>
          <w:sz w:val="24"/>
          <w:szCs w:val="24"/>
          <w:rtl w:val="0"/>
        </w:rPr>
        <w:t xml:space="preserve"> Monitored Company]</w:t>
      </w:r>
    </w:p>
    <w:p w:rsidR="00000000" w:rsidDel="00000000" w:rsidP="00000000" w:rsidRDefault="00000000" w:rsidRPr="00000000" w14:paraId="0000018F">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90">
      <w:pPr>
        <w:numPr>
          <w:ilvl w:val="2"/>
          <w:numId w:val="4"/>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 </w:t>
      </w:r>
    </w:p>
    <w:p w:rsidR="00000000" w:rsidDel="00000000" w:rsidP="00000000" w:rsidRDefault="00000000" w:rsidRPr="00000000" w14:paraId="00000191">
      <w:pPr>
        <w:numPr>
          <w:ilvl w:val="2"/>
          <w:numId w:val="4"/>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192">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44sinio" w:id="19"/>
      <w:bookmarkEnd w:id="19"/>
      <w:r w:rsidDel="00000000" w:rsidR="00000000" w:rsidRPr="00000000">
        <w:rPr>
          <w:rFonts w:ascii="Arial" w:cs="Arial" w:eastAsia="Arial" w:hAnsi="Arial"/>
          <w:color w:val="000000"/>
          <w:sz w:val="24"/>
          <w:szCs w:val="24"/>
          <w:rtl w:val="0"/>
        </w:rPr>
        <w:t xml:space="preserve">The Supplier shall and shall procure that the other Monitored Companies shall:</w:t>
      </w:r>
    </w:p>
    <w:p w:rsidR="00000000" w:rsidDel="00000000" w:rsidP="00000000" w:rsidRDefault="00000000" w:rsidRPr="00000000" w14:paraId="00000193">
      <w:pPr>
        <w:numPr>
          <w:ilvl w:val="2"/>
          <w:numId w:val="4"/>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2jxsxqh" w:id="20"/>
      <w:bookmarkEnd w:id="20"/>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94">
      <w:pPr>
        <w:numPr>
          <w:ilvl w:val="2"/>
          <w:numId w:val="4"/>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z337ya" w:id="21"/>
      <w:bookmarkEnd w:id="21"/>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195">
      <w:pPr>
        <w:numPr>
          <w:ilvl w:val="3"/>
          <w:numId w:val="4"/>
        </w:numPr>
        <w:pBdr>
          <w:top w:space="0" w:sz="0" w:val="nil"/>
          <w:left w:space="0" w:sz="0" w:val="nil"/>
          <w:bottom w:space="0" w:sz="0" w:val="nil"/>
          <w:right w:space="0" w:sz="0" w:val="nil"/>
          <w:between w:space="0" w:sz="0" w:val="nil"/>
        </w:pBdr>
        <w:tabs>
          <w:tab w:val="left" w:pos="1985"/>
        </w:tabs>
        <w:spacing w:after="120" w:before="120" w:lineRule="auto"/>
        <w:ind w:left="2847"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96">
      <w:pPr>
        <w:numPr>
          <w:ilvl w:val="3"/>
          <w:numId w:val="4"/>
        </w:numPr>
        <w:pBdr>
          <w:top w:space="0" w:sz="0" w:val="nil"/>
          <w:left w:space="0" w:sz="0" w:val="nil"/>
          <w:bottom w:space="0" w:sz="0" w:val="nil"/>
          <w:right w:space="0" w:sz="0" w:val="nil"/>
          <w:between w:space="0" w:sz="0" w:val="nil"/>
        </w:pBdr>
        <w:tabs>
          <w:tab w:val="left" w:pos="1985"/>
        </w:tabs>
        <w:spacing w:after="120" w:before="120" w:lineRule="auto"/>
        <w:ind w:left="2847" w:hanging="720"/>
        <w:jc w:val="left"/>
        <w:rPr>
          <w:rFonts w:ascii="Arial" w:cs="Arial" w:eastAsia="Arial" w:hAnsi="Arial"/>
          <w:color w:val="000000"/>
          <w:sz w:val="24"/>
          <w:szCs w:val="24"/>
        </w:rPr>
      </w:pPr>
      <w:bookmarkStart w:colFirst="0" w:colLast="0" w:name="_heading=h.3j2qqm3" w:id="22"/>
      <w:bookmarkEnd w:id="22"/>
      <w:r w:rsidDel="00000000" w:rsidR="00000000" w:rsidRPr="00000000">
        <w:rPr>
          <w:rFonts w:ascii="Arial" w:cs="Arial" w:eastAsia="Arial" w:hAnsi="Arial"/>
          <w:color w:val="000000"/>
          <w:sz w:val="24"/>
          <w:szCs w:val="24"/>
          <w:rtl w:val="0"/>
        </w:rPr>
        <w:t xml:space="preserve">provide such financial information relating to the Monitored Company as the Relevant Authority may reasonably require.</w:t>
      </w:r>
    </w:p>
    <w:p w:rsidR="00000000" w:rsidDel="00000000" w:rsidP="00000000" w:rsidRDefault="00000000" w:rsidRPr="00000000" w14:paraId="00000197">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1y810tw" w:id="23"/>
      <w:bookmarkEnd w:id="23"/>
      <w:r w:rsidDel="00000000" w:rsidR="00000000" w:rsidRPr="00000000">
        <w:rPr>
          <w:rFonts w:ascii="Arial" w:cs="Arial" w:eastAsia="Arial" w:hAnsi="Arial"/>
          <w:color w:val="000000"/>
          <w:sz w:val="24"/>
          <w:szCs w:val="24"/>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98">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4i7ojhp" w:id="24"/>
      <w:bookmarkEnd w:id="24"/>
      <w:r w:rsidDel="00000000" w:rsidR="00000000" w:rsidRPr="00000000">
        <w:rPr>
          <w:rFonts w:ascii="Arial" w:cs="Arial" w:eastAsia="Arial" w:hAnsi="Arial"/>
          <w:color w:val="000000"/>
          <w:sz w:val="24"/>
          <w:szCs w:val="24"/>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99">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2xcytpi" w:id="25"/>
      <w:bookmarkEnd w:id="25"/>
      <w:r w:rsidDel="00000000" w:rsidR="00000000" w:rsidRPr="00000000">
        <w:rPr>
          <w:rFonts w:ascii="Arial" w:cs="Arial" w:eastAsia="Arial" w:hAnsi="Arial"/>
          <w:color w:val="000000"/>
          <w:sz w:val="24"/>
          <w:szCs w:val="24"/>
          <w:rtl w:val="0"/>
        </w:rPr>
        <w:t xml:space="preserve">Following Approval of the Financial Distress Service Continuity Plan by the Relevant Authority, the Supplier shall:</w:t>
      </w:r>
    </w:p>
    <w:p w:rsidR="00000000" w:rsidDel="00000000" w:rsidP="00000000" w:rsidRDefault="00000000" w:rsidRPr="00000000" w14:paraId="0000019A">
      <w:pPr>
        <w:numPr>
          <w:ilvl w:val="2"/>
          <w:numId w:val="4"/>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1ci93xb" w:id="26"/>
      <w:bookmarkEnd w:id="26"/>
      <w:r w:rsidDel="00000000" w:rsidR="00000000" w:rsidRPr="00000000">
        <w:rPr>
          <w:rFonts w:ascii="Arial" w:cs="Arial" w:eastAsia="Arial" w:hAnsi="Arial"/>
          <w:color w:val="000000"/>
          <w:sz w:val="24"/>
          <w:szCs w:val="24"/>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9B">
      <w:pPr>
        <w:numPr>
          <w:ilvl w:val="2"/>
          <w:numId w:val="4"/>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3whwml4" w:id="27"/>
      <w:bookmarkEnd w:id="27"/>
      <w:r w:rsidDel="00000000" w:rsidR="00000000" w:rsidRPr="00000000">
        <w:rPr>
          <w:rFonts w:ascii="Arial" w:cs="Arial" w:eastAsia="Arial" w:hAnsi="Arial"/>
          <w:color w:val="000000"/>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9C">
      <w:pPr>
        <w:numPr>
          <w:ilvl w:val="2"/>
          <w:numId w:val="4"/>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2bn6wsx" w:id="28"/>
      <w:bookmarkEnd w:id="28"/>
      <w:r w:rsidDel="00000000" w:rsidR="00000000" w:rsidRPr="00000000">
        <w:rPr>
          <w:rFonts w:ascii="Arial" w:cs="Arial" w:eastAsia="Arial" w:hAnsi="Arial"/>
          <w:color w:val="000000"/>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19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qsh70q" w:id="29"/>
      <w:bookmarkEnd w:id="29"/>
      <w:r w:rsidDel="00000000" w:rsidR="00000000" w:rsidRPr="00000000">
        <w:rPr>
          <w:rFonts w:ascii="Arial" w:cs="Arial" w:eastAsia="Arial" w:hAnsi="Arial"/>
          <w:color w:val="000000"/>
          <w:sz w:val="24"/>
          <w:szCs w:val="24"/>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9E">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9F">
      <w:pPr>
        <w:keepNext w:val="1"/>
        <w:numPr>
          <w:ilvl w:val="0"/>
          <w:numId w:val="4"/>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A0">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3as4poj" w:id="30"/>
      <w:bookmarkEnd w:id="30"/>
      <w:r w:rsidDel="00000000" w:rsidR="00000000" w:rsidRPr="00000000">
        <w:rPr>
          <w:rFonts w:ascii="Arial" w:cs="Arial" w:eastAsia="Arial" w:hAnsi="Arial"/>
          <w:color w:val="000000"/>
          <w:sz w:val="24"/>
          <w:szCs w:val="24"/>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A1">
      <w:pPr>
        <w:numPr>
          <w:ilvl w:val="2"/>
          <w:numId w:val="4"/>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3.4; </w:t>
      </w:r>
    </w:p>
    <w:p w:rsidR="00000000" w:rsidDel="00000000" w:rsidP="00000000" w:rsidRDefault="00000000" w:rsidRPr="00000000" w14:paraId="000001A2">
      <w:pPr>
        <w:numPr>
          <w:ilvl w:val="2"/>
          <w:numId w:val="4"/>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A3">
      <w:pPr>
        <w:numPr>
          <w:ilvl w:val="2"/>
          <w:numId w:val="4"/>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A4">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A5">
      <w:pPr>
        <w:keepNext w:val="1"/>
        <w:numPr>
          <w:ilvl w:val="0"/>
          <w:numId w:val="4"/>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bookmarkStart w:colFirst="0" w:colLast="0" w:name="_heading=h.1pxezwc" w:id="31"/>
      <w:bookmarkEnd w:id="31"/>
      <w:r w:rsidDel="00000000" w:rsidR="00000000" w:rsidRPr="00000000">
        <w:rPr>
          <w:rFonts w:ascii="Arial Bold" w:cs="Arial Bold" w:eastAsia="Arial Bold" w:hAnsi="Arial Bold"/>
          <w:b w:val="1"/>
          <w:color w:val="000000"/>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1A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A7">
      <w:pPr>
        <w:numPr>
          <w:ilvl w:val="2"/>
          <w:numId w:val="4"/>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1A8">
      <w:pPr>
        <w:numPr>
          <w:ilvl w:val="2"/>
          <w:numId w:val="4"/>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0" w:lineRule="auto"/>
        <w:jc w:val="left"/>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1AB">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heading=h.49x2ik5" w:id="32"/>
      <w:bookmarkEnd w:id="32"/>
      <w:r w:rsidDel="00000000" w:rsidR="00000000" w:rsidRPr="00000000">
        <w:br w:type="page"/>
      </w:r>
      <w:r w:rsidDel="00000000" w:rsidR="00000000" w:rsidRPr="00000000">
        <w:rPr>
          <w:rtl w:val="0"/>
        </w:rPr>
      </w:r>
    </w:p>
    <w:p w:rsidR="00000000" w:rsidDel="00000000" w:rsidP="00000000" w:rsidRDefault="00000000" w:rsidRPr="00000000" w14:paraId="000001AC">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sz w:val="36"/>
          <w:szCs w:val="36"/>
        </w:rPr>
      </w:pPr>
      <w:bookmarkStart w:colFirst="0" w:colLast="0" w:name="_heading=h.2p2csry" w:id="33"/>
      <w:bookmarkEnd w:id="33"/>
      <w:r w:rsidDel="00000000" w:rsidR="00000000" w:rsidRPr="00000000">
        <w:rPr>
          <w:rFonts w:ascii="Arial" w:cs="Arial" w:eastAsia="Arial" w:hAnsi="Arial"/>
          <w:b w:val="1"/>
          <w:smallCaps w:val="1"/>
          <w:color w:val="000000"/>
          <w:sz w:val="36"/>
          <w:szCs w:val="36"/>
          <w:rtl w:val="0"/>
        </w:rPr>
        <w:t xml:space="preserve">Appendix 1: RATING AGENCIE</w:t>
      </w:r>
      <w:r w:rsidDel="00000000" w:rsidR="00000000" w:rsidRPr="00000000">
        <w:rPr>
          <w:rFonts w:ascii="Arial" w:cs="Arial" w:eastAsia="Arial" w:hAnsi="Arial"/>
          <w:b w:val="1"/>
          <w:smallCaps w:val="1"/>
          <w:sz w:val="36"/>
          <w:szCs w:val="36"/>
          <w:rtl w:val="0"/>
        </w:rPr>
        <w:t xml:space="preserve">S</w:t>
      </w:r>
    </w:p>
    <w:p w:rsidR="00000000" w:rsidDel="00000000" w:rsidP="00000000" w:rsidRDefault="00000000" w:rsidRPr="00000000" w14:paraId="000001A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Dun and Bradstreet</w:t>
      </w:r>
      <w:r w:rsidDel="00000000" w:rsidR="00000000" w:rsidRPr="00000000">
        <w:rPr>
          <w:rtl w:val="0"/>
        </w:rPr>
      </w:r>
    </w:p>
    <w:p w:rsidR="00000000" w:rsidDel="00000000" w:rsidP="00000000" w:rsidRDefault="00000000" w:rsidRPr="00000000" w14:paraId="000001AE">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heading=h.147n2zr" w:id="34"/>
      <w:bookmarkEnd w:id="34"/>
      <w:r w:rsidDel="00000000" w:rsidR="00000000" w:rsidRPr="00000000">
        <w:br w:type="page"/>
      </w:r>
      <w:r w:rsidDel="00000000" w:rsidR="00000000" w:rsidRPr="00000000">
        <w:rPr>
          <w:rFonts w:ascii="Arial" w:cs="Arial" w:eastAsia="Arial" w:hAnsi="Arial"/>
          <w:b w:val="1"/>
          <w:smallCaps w:val="1"/>
          <w:color w:val="000000"/>
          <w:sz w:val="36"/>
          <w:szCs w:val="36"/>
          <w:rtl w:val="0"/>
        </w:rPr>
        <w:t xml:space="preserve">Appendix 2: CREDIT RATINGS &amp; CREDIT RATING THRESHOLDS</w:t>
      </w:r>
      <w:r w:rsidDel="00000000" w:rsidR="00000000" w:rsidRPr="00000000">
        <w:rPr>
          <w:rtl w:val="0"/>
        </w:rPr>
      </w:r>
    </w:p>
    <w:p w:rsidR="00000000" w:rsidDel="00000000" w:rsidP="00000000" w:rsidRDefault="00000000" w:rsidRPr="00000000" w14:paraId="000001AF">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Part 1: Current Rating - Lot 1a, 2a and 3a</w:t>
      </w:r>
      <w:r w:rsidDel="00000000" w:rsidR="00000000" w:rsidRPr="00000000">
        <w:rPr>
          <w:rtl w:val="0"/>
        </w:rPr>
      </w:r>
    </w:p>
    <w:tbl>
      <w:tblPr>
        <w:tblStyle w:val="Table10"/>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B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B1">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1B2">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1B3">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45</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1B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1B5">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B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B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B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A">
      <w:pPr>
        <w:keepNext w:val="1"/>
        <w:jc w:val="left"/>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Current Rating - Lot 1b, 2b and 3b</w:t>
      </w:r>
      <w:r w:rsidDel="00000000" w:rsidR="00000000" w:rsidRPr="00000000">
        <w:rPr>
          <w:rtl w:val="0"/>
        </w:rPr>
      </w:r>
    </w:p>
    <w:tbl>
      <w:tblPr>
        <w:tblStyle w:val="Table11"/>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BB">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BC">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1BD">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shd w:fill="ffffff" w:val="clear"/>
          </w:tcPr>
          <w:p w:rsidR="00000000" w:rsidDel="00000000" w:rsidP="00000000" w:rsidRDefault="00000000" w:rsidRPr="00000000" w14:paraId="000001BE">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60</w:t>
            </w:r>
          </w:p>
        </w:tc>
      </w:tr>
      <w:tr>
        <w:trPr>
          <w:cantSplit w:val="0"/>
          <w:tblHeader w:val="0"/>
        </w:trPr>
        <w:tc>
          <w:tcPr>
            <w:shd w:fill="ffffff" w:val="clear"/>
          </w:tcPr>
          <w:p w:rsidR="00000000" w:rsidDel="00000000" w:rsidP="00000000" w:rsidRDefault="00000000" w:rsidRPr="00000000" w14:paraId="000001BF">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1C0">
            <w:pPr>
              <w:keepNext w:val="1"/>
              <w:spacing w:after="120" w:before="240" w:lineRule="auto"/>
              <w:ind w:left="142" w:firstLine="0"/>
              <w:jc w:val="left"/>
              <w:rPr>
                <w:rFonts w:ascii="Arial" w:cs="Arial" w:eastAsia="Arial" w:hAnsi="Arial"/>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C1">
            <w:pPr>
              <w:keepNext w:val="1"/>
              <w:spacing w:after="120" w:before="240" w:lineRule="auto"/>
              <w:ind w:left="142"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C2">
            <w:pPr>
              <w:keepNext w:val="1"/>
              <w:spacing w:after="120" w:before="240" w:lineRule="auto"/>
              <w:ind w:left="142"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C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5">
      <w:pPr>
        <w:keepNext w:val="1"/>
        <w:jc w:val="left"/>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Current Rating - Lot 1c, 2c and 3c</w:t>
      </w:r>
      <w:r w:rsidDel="00000000" w:rsidR="00000000" w:rsidRPr="00000000">
        <w:rPr>
          <w:rtl w:val="0"/>
        </w:rPr>
      </w:r>
    </w:p>
    <w:tbl>
      <w:tblPr>
        <w:tblStyle w:val="Table12"/>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C6">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C7">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1C8">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shd w:fill="ffffff" w:val="clear"/>
          </w:tcPr>
          <w:p w:rsidR="00000000" w:rsidDel="00000000" w:rsidP="00000000" w:rsidRDefault="00000000" w:rsidRPr="00000000" w14:paraId="000001C9">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70</w:t>
            </w:r>
          </w:p>
        </w:tc>
      </w:tr>
      <w:tr>
        <w:trPr>
          <w:cantSplit w:val="0"/>
          <w:tblHeader w:val="0"/>
        </w:trPr>
        <w:tc>
          <w:tcPr>
            <w:shd w:fill="ffffff" w:val="clear"/>
          </w:tcPr>
          <w:p w:rsidR="00000000" w:rsidDel="00000000" w:rsidP="00000000" w:rsidRDefault="00000000" w:rsidRPr="00000000" w14:paraId="000001CA">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1CB">
            <w:pPr>
              <w:keepNext w:val="1"/>
              <w:spacing w:after="120" w:before="240" w:lineRule="auto"/>
              <w:ind w:left="142" w:firstLine="0"/>
              <w:jc w:val="left"/>
              <w:rPr>
                <w:rFonts w:ascii="Arial" w:cs="Arial" w:eastAsia="Arial" w:hAnsi="Arial"/>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CC">
            <w:pPr>
              <w:keepNext w:val="1"/>
              <w:spacing w:after="120" w:before="240" w:lineRule="auto"/>
              <w:ind w:left="142"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CD">
            <w:pPr>
              <w:keepNext w:val="1"/>
              <w:spacing w:after="120" w:before="240" w:lineRule="auto"/>
              <w:ind w:left="142"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C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1">
      <w:pPr>
        <w:spacing w:after="0" w:lineRule="auto"/>
        <w:rPr>
          <w:rFonts w:ascii="Roboto" w:cs="Roboto" w:eastAsia="Roboto" w:hAnsi="Roboto"/>
          <w:color w:val="202124"/>
          <w:sz w:val="21"/>
          <w:szCs w:val="21"/>
        </w:rPr>
      </w:pPr>
      <w:r w:rsidDel="00000000" w:rsidR="00000000" w:rsidRPr="00000000">
        <w:rPr>
          <w:rtl w:val="0"/>
        </w:rPr>
      </w:r>
    </w:p>
    <w:p w:rsidR="00000000" w:rsidDel="00000000" w:rsidP="00000000" w:rsidRDefault="00000000" w:rsidRPr="00000000" w14:paraId="000001D2">
      <w:pPr>
        <w:spacing w:after="0" w:lineRule="auto"/>
        <w:rPr>
          <w:rFonts w:ascii="Roboto" w:cs="Roboto" w:eastAsia="Roboto" w:hAnsi="Roboto"/>
          <w:color w:val="202124"/>
          <w:sz w:val="21"/>
          <w:szCs w:val="21"/>
        </w:rPr>
      </w:pPr>
      <w:r w:rsidDel="00000000" w:rsidR="00000000" w:rsidRPr="00000000">
        <w:rPr>
          <w:rtl w:val="0"/>
        </w:rPr>
      </w:r>
    </w:p>
    <w:p w:rsidR="00000000" w:rsidDel="00000000" w:rsidP="00000000" w:rsidRDefault="00000000" w:rsidRPr="00000000" w14:paraId="000001D3">
      <w:pPr>
        <w:spacing w:after="200" w:line="276" w:lineRule="auto"/>
        <w:jc w:val="left"/>
        <w:rPr>
          <w:rFonts w:ascii="Arial" w:cs="Arial" w:eastAsia="Arial" w:hAnsi="Arial"/>
          <w:sz w:val="24"/>
          <w:szCs w:val="24"/>
        </w:rPr>
      </w:pPr>
      <w:r w:rsidDel="00000000" w:rsidR="00000000" w:rsidRPr="00000000">
        <w:rPr>
          <w:rtl w:val="0"/>
        </w:rPr>
      </w:r>
    </w:p>
    <w:sectPr>
      <w:headerReference r:id="rId10" w:type="defaul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6">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tab/>
      <w:t xml:space="preserve">                                           </w:t>
    </w:r>
  </w:p>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center" w:pos="4513"/>
        <w:tab w:val="right" w:pos="9026"/>
      </w:tabs>
      <w:spacing w:after="0" w:line="27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9">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center" w:pos="4513"/>
        <w:tab w:val="right"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B">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style>
  <w:style w:type="numbering" w:styleId="Scheduleheading" w:customStyle="1">
    <w:name w:val="Schedule heading"/>
    <w:uiPriority w:val="99"/>
    <w:rsid w:val="0034142A"/>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rPr>
      <w:sz w:val="20"/>
      <w:szCs w:val="20"/>
    </w:rPr>
    <w:tblPr>
      <w:tblStyleRowBandSize w:val="1"/>
      <w:tblStyleColBandSize w:val="1"/>
    </w:tblPr>
  </w:style>
  <w:style w:type="table" w:styleId="a0" w:customStyle="1">
    <w:basedOn w:val="TableNormal"/>
    <w:pPr>
      <w:spacing w:after="0"/>
    </w:pPr>
    <w:rPr>
      <w:sz w:val="20"/>
      <w:szCs w:val="20"/>
    </w:rPr>
    <w:tblPr>
      <w:tblStyleRowBandSize w:val="1"/>
      <w:tblStyleColBandSize w:val="1"/>
    </w:tblPr>
  </w:style>
  <w:style w:type="table" w:styleId="a1" w:customStyle="1">
    <w:basedOn w:val="TableNormal"/>
    <w:pPr>
      <w:spacing w:after="0"/>
    </w:pPr>
    <w:rPr>
      <w:sz w:val="20"/>
      <w:szCs w:val="20"/>
    </w:rPr>
    <w:tblPr>
      <w:tblStyleRowBandSize w:val="1"/>
      <w:tblStyleColBandSize w:val="1"/>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pPr>
      <w:spacing w:after="0"/>
    </w:pPr>
    <w:rPr>
      <w:sz w:val="20"/>
      <w:szCs w:val="20"/>
    </w:rPr>
    <w:tblPr>
      <w:tblStyleRowBandSize w:val="1"/>
      <w:tblStyleColBandSize w:val="1"/>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pPr>
      <w:spacing w:after="0"/>
    </w:pPr>
    <w:rPr>
      <w:sz w:val="20"/>
      <w:szCs w:val="20"/>
    </w:rPr>
    <w:tblPr>
      <w:tblStyleRowBandSize w:val="1"/>
      <w:tblStyleColBandSize w:val="1"/>
      <w:tblCellMar>
        <w:left w:w="115.0" w:type="dxa"/>
        <w:right w:w="115.0" w:type="dxa"/>
      </w:tblCellMar>
    </w:tblPr>
  </w:style>
  <w:style w:type="table" w:styleId="a8" w:customStyle="1">
    <w:basedOn w:val="TableNormal"/>
    <w:pPr>
      <w:spacing w:after="0"/>
    </w:pPr>
    <w:rPr>
      <w:sz w:val="20"/>
      <w:szCs w:val="20"/>
    </w:rPr>
    <w:tblPr>
      <w:tblStyleRowBandSize w:val="1"/>
      <w:tblStyleColBandSize w:val="1"/>
      <w:tblCellMar>
        <w:left w:w="115.0" w:type="dxa"/>
        <w:right w:w="115.0" w:type="dxa"/>
      </w:tblCellMar>
    </w:tblPr>
  </w:style>
  <w:style w:type="table" w:styleId="a9" w:customStyle="1">
    <w:basedOn w:val="TableNormal"/>
    <w:pPr>
      <w:spacing w:after="0"/>
    </w:pPr>
    <w:rPr>
      <w:sz w:val="20"/>
      <w:szCs w:val="20"/>
    </w:rPr>
    <w:tblPr>
      <w:tblStyleRowBandSize w:val="1"/>
      <w:tblStyleColBandSize w:val="1"/>
      <w:tblCellMar>
        <w:left w:w="115.0" w:type="dxa"/>
        <w:right w:w="115.0" w:type="dxa"/>
      </w:tblCellMar>
    </w:tblPr>
  </w:style>
  <w:style w:type="table" w:styleId="aa" w:customStyle="1">
    <w:basedOn w:val="TableNormal"/>
    <w:pPr>
      <w:spacing w:after="0"/>
    </w:pPr>
    <w:rPr>
      <w:sz w:val="20"/>
      <w:szCs w:val="20"/>
    </w:rPr>
    <w:tblPr>
      <w:tblStyleRowBandSize w:val="1"/>
      <w:tblStyleColBandSize w:val="1"/>
      <w:tblCellMar>
        <w:left w:w="115.0" w:type="dxa"/>
        <w:right w:w="115.0" w:type="dxa"/>
      </w:tblCellMar>
    </w:tblPr>
  </w:style>
  <w:style w:type="table" w:styleId="ab" w:customStyle="1">
    <w:basedOn w:val="TableNormal"/>
    <w:pPr>
      <w:spacing w:after="0"/>
    </w:pPr>
    <w:rPr>
      <w:sz w:val="20"/>
      <w:szCs w:val="20"/>
    </w:rPr>
    <w:tblPr>
      <w:tblStyleRowBandSize w:val="1"/>
      <w:tblStyleColBandSize w:val="1"/>
      <w:tblCellMar>
        <w:left w:w="115.0" w:type="dxa"/>
        <w:right w:w="115.0" w:type="dxa"/>
      </w:tblCellMar>
    </w:tblPr>
  </w:style>
  <w:style w:type="table" w:styleId="ac" w:customStyle="1">
    <w:basedOn w:val="TableNormal"/>
    <w:pPr>
      <w:spacing w:after="0"/>
    </w:pPr>
    <w:rPr>
      <w:sz w:val="20"/>
      <w:szCs w:val="20"/>
    </w:rPr>
    <w:tblPr>
      <w:tblStyleRowBandSize w:val="1"/>
      <w:tblStyleColBandSize w:val="1"/>
      <w:tblCellMar>
        <w:left w:w="115.0" w:type="dxa"/>
        <w:right w:w="115.0" w:type="dxa"/>
      </w:tblCellMar>
    </w:tblPr>
  </w:style>
  <w:style w:type="table" w:styleId="ad" w:customStyle="1">
    <w:basedOn w:val="TableNormal"/>
    <w:pPr>
      <w:spacing w:after="0"/>
    </w:pPr>
    <w:rPr>
      <w:sz w:val="20"/>
      <w:szCs w:val="20"/>
    </w:rPr>
    <w:tblPr>
      <w:tblStyleRowBandSize w:val="1"/>
      <w:tblStyleColBandSize w:val="1"/>
      <w:tblCellMar>
        <w:left w:w="115.0" w:type="dxa"/>
        <w:right w:w="115.0" w:type="dxa"/>
      </w:tblCellMar>
    </w:tblPr>
  </w:style>
  <w:style w:type="table" w:styleId="ae" w:customStyle="1">
    <w:basedOn w:val="TableNormal"/>
    <w:pPr>
      <w:spacing w:after="0"/>
    </w:pPr>
    <w:rPr>
      <w:sz w:val="20"/>
      <w:szCs w:val="20"/>
    </w:rPr>
    <w:tblPr>
      <w:tblStyleRowBandSize w:val="1"/>
      <w:tblStyleColBandSize w:val="1"/>
      <w:tblCellMar>
        <w:left w:w="115.0" w:type="dxa"/>
        <w:right w:w="115.0" w:type="dxa"/>
      </w:tblCellMar>
    </w:tblPr>
  </w:style>
  <w:style w:type="table" w:styleId="af" w:customStyle="1">
    <w:basedOn w:val="TableNormal"/>
    <w:pPr>
      <w:spacing w:after="0"/>
    </w:pPr>
    <w:rPr>
      <w:sz w:val="20"/>
      <w:szCs w:val="20"/>
    </w:rPr>
    <w:tblPr>
      <w:tblStyleRowBandSize w:val="1"/>
      <w:tblStyleColBandSize w:val="1"/>
      <w:tblCellMar>
        <w:left w:w="115.0" w:type="dxa"/>
        <w:right w:w="115.0" w:type="dxa"/>
      </w:tblCellMar>
    </w:tblPr>
  </w:style>
  <w:style w:type="table" w:styleId="af0" w:customStyle="1">
    <w:basedOn w:val="TableNormal"/>
    <w:pPr>
      <w:spacing w:after="0"/>
    </w:pPr>
    <w:rPr>
      <w:sz w:val="20"/>
      <w:szCs w:val="20"/>
    </w:rPr>
    <w:tblPr>
      <w:tblStyleRowBandSize w:val="1"/>
      <w:tblStyleColBandSize w:val="1"/>
      <w:tblCellMar>
        <w:left w:w="115.0" w:type="dxa"/>
        <w:right w:w="115.0" w:type="dxa"/>
      </w:tblCellMar>
    </w:tblPr>
  </w:style>
  <w:style w:type="table" w:styleId="af1" w:customStyle="1">
    <w:basedOn w:val="TableNormal"/>
    <w:pPr>
      <w:spacing w:after="0"/>
    </w:pPr>
    <w:rPr>
      <w:sz w:val="20"/>
      <w:szCs w:val="20"/>
    </w:rPr>
    <w:tblPr>
      <w:tblStyleRowBandSize w:val="1"/>
      <w:tblStyleColBandSize w:val="1"/>
      <w:tblCellMar>
        <w:left w:w="115.0" w:type="dxa"/>
        <w:right w:w="115.0" w:type="dxa"/>
      </w:tblCellMar>
    </w:tblPr>
  </w:style>
  <w:style w:type="table" w:styleId="af2" w:customStyle="1">
    <w:basedOn w:val="TableNormal"/>
    <w:pPr>
      <w:spacing w:after="0"/>
    </w:pPr>
    <w:rPr>
      <w:sz w:val="20"/>
      <w:szCs w:val="20"/>
    </w:rPr>
    <w:tblPr>
      <w:tblStyleRowBandSize w:val="1"/>
      <w:tblStyleColBandSize w:val="1"/>
      <w:tblCellMar>
        <w:left w:w="115.0" w:type="dxa"/>
        <w:right w:w="115.0" w:type="dxa"/>
      </w:tblCellMar>
    </w:tblPr>
  </w:style>
  <w:style w:type="table" w:styleId="af3" w:customStyle="1">
    <w:basedOn w:val="TableNormal"/>
    <w:pPr>
      <w:spacing w:after="0"/>
    </w:pPr>
    <w:rPr>
      <w:sz w:val="20"/>
      <w:szCs w:val="20"/>
    </w:rPr>
    <w:tblPr>
      <w:tblStyleRowBandSize w:val="1"/>
      <w:tblStyleColBandSize w:val="1"/>
      <w:tblCellMar>
        <w:left w:w="115.0" w:type="dxa"/>
        <w:right w:w="115.0" w:type="dxa"/>
      </w:tblCellMar>
    </w:tblPr>
  </w:style>
  <w:style w:type="table" w:styleId="af4" w:customStyle="1">
    <w:basedOn w:val="TableNormal"/>
    <w:pPr>
      <w:spacing w:after="0"/>
    </w:pPr>
    <w:rPr>
      <w:sz w:val="20"/>
      <w:szCs w:val="20"/>
    </w:rPr>
    <w:tblPr>
      <w:tblStyleRowBandSize w:val="1"/>
      <w:tblStyleColBandSize w:val="1"/>
      <w:tblCellMar>
        <w:left w:w="115.0" w:type="dxa"/>
        <w:right w:w="115.0" w:type="dxa"/>
      </w:tblCellMar>
    </w:tblPr>
  </w:style>
  <w:style w:type="table" w:styleId="af5" w:customStyle="1">
    <w:basedOn w:val="TableNormal"/>
    <w:pPr>
      <w:spacing w:after="0"/>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7">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8">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9">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10">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1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1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r8ZGK+EYuJPqcGrCtidfx8LJoA==">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2021-10-28T11:08:00Z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